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4A7F22" w14:textId="77777777" w:rsidR="0003280F" w:rsidRDefault="0003280F" w:rsidP="0003280F">
      <w:bookmarkStart w:id="0" w:name="_Toc286397342"/>
    </w:p>
    <w:p w14:paraId="52FC35B5" w14:textId="77777777" w:rsidR="0003280F" w:rsidRDefault="0003280F" w:rsidP="0003280F"/>
    <w:p w14:paraId="30A55259" w14:textId="77777777" w:rsidR="0003280F" w:rsidRDefault="0003280F" w:rsidP="0003280F"/>
    <w:p w14:paraId="5154E1E5" w14:textId="77777777" w:rsidR="0003280F" w:rsidRDefault="0003280F" w:rsidP="0003280F"/>
    <w:p w14:paraId="406AE58F" w14:textId="77777777" w:rsidR="0003280F" w:rsidRDefault="0003280F" w:rsidP="0003280F"/>
    <w:p w14:paraId="5FF570D8" w14:textId="77777777" w:rsidR="0003280F" w:rsidRDefault="0003280F" w:rsidP="0003280F"/>
    <w:p w14:paraId="65F6FCC3" w14:textId="77777777" w:rsidR="0003280F" w:rsidRDefault="0003280F" w:rsidP="0003280F"/>
    <w:p w14:paraId="4F4BAD11" w14:textId="77777777" w:rsidR="0003280F" w:rsidRDefault="0003280F" w:rsidP="0003280F"/>
    <w:p w14:paraId="253B320E" w14:textId="77777777" w:rsidR="0003280F" w:rsidRDefault="0003280F" w:rsidP="0003280F"/>
    <w:p w14:paraId="6AFC047F" w14:textId="77777777" w:rsidR="0003280F" w:rsidRDefault="0003280F" w:rsidP="0003280F"/>
    <w:p w14:paraId="61456BEE" w14:textId="77777777" w:rsidR="0003280F" w:rsidRDefault="0003280F" w:rsidP="0003280F"/>
    <w:p w14:paraId="3F4A639A" w14:textId="77777777" w:rsidR="0003280F" w:rsidRDefault="0003280F" w:rsidP="0003280F"/>
    <w:p w14:paraId="23DBD221" w14:textId="77777777" w:rsidR="0003280F" w:rsidRDefault="0003280F" w:rsidP="0003280F"/>
    <w:p w14:paraId="431904E5" w14:textId="77777777" w:rsidR="0003280F" w:rsidRDefault="0003280F" w:rsidP="0003280F"/>
    <w:p w14:paraId="31DD94EB" w14:textId="77777777" w:rsidR="0003280F" w:rsidRDefault="0003280F" w:rsidP="0003280F"/>
    <w:p w14:paraId="1CA6B90A" w14:textId="77777777" w:rsidR="0003280F" w:rsidRDefault="0003280F" w:rsidP="0003280F"/>
    <w:p w14:paraId="43157AEA" w14:textId="77777777" w:rsidR="0003280F" w:rsidRDefault="0003280F" w:rsidP="0003280F"/>
    <w:p w14:paraId="2A194B62" w14:textId="77777777" w:rsidR="0003280F" w:rsidRDefault="0003280F" w:rsidP="0003280F"/>
    <w:p w14:paraId="276DC96B" w14:textId="77777777" w:rsidR="0003280F" w:rsidRDefault="0003280F" w:rsidP="0003280F"/>
    <w:p w14:paraId="39D4C70B" w14:textId="77777777" w:rsidR="0003280F" w:rsidRDefault="0003280F" w:rsidP="0003280F"/>
    <w:p w14:paraId="32E4BB2D" w14:textId="77777777" w:rsidR="0003280F" w:rsidRDefault="0003280F" w:rsidP="0003280F"/>
    <w:p w14:paraId="0BED8072" w14:textId="77777777" w:rsidR="0003280F" w:rsidRDefault="0003280F" w:rsidP="0003280F"/>
    <w:p w14:paraId="316559C0" w14:textId="77777777" w:rsidR="0003280F" w:rsidRDefault="0003280F" w:rsidP="0003280F"/>
    <w:p w14:paraId="1830E768" w14:textId="77777777" w:rsidR="0003280F" w:rsidRDefault="0003280F" w:rsidP="0003280F"/>
    <w:p w14:paraId="272A2D4A" w14:textId="77777777" w:rsidR="0003280F" w:rsidRDefault="0003280F" w:rsidP="0003280F"/>
    <w:p w14:paraId="181845AE" w14:textId="77777777" w:rsidR="0003280F" w:rsidRDefault="0003280F" w:rsidP="0003280F"/>
    <w:p w14:paraId="7635D6DC" w14:textId="77777777" w:rsidR="0003280F" w:rsidRPr="0003280F" w:rsidRDefault="00723E69" w:rsidP="0003280F">
      <w:pPr>
        <w:rPr>
          <w:rFonts w:ascii="Century Gothic" w:hAnsi="Century Gothic"/>
          <w:b/>
          <w:color w:val="FFFFFF"/>
          <w:sz w:val="48"/>
        </w:rPr>
      </w:pPr>
      <w:r>
        <w:rPr>
          <w:rFonts w:ascii="Century Gothic" w:hAnsi="Century Gothic"/>
          <w:b/>
          <w:color w:val="FFFFFF"/>
          <w:sz w:val="48"/>
        </w:rPr>
        <w:t>End-Point Assessment Organisation</w:t>
      </w:r>
    </w:p>
    <w:p w14:paraId="0A80AE09" w14:textId="77777777" w:rsidR="00787C21" w:rsidRDefault="00723E69" w:rsidP="00424008">
      <w:pPr>
        <w:jc w:val="left"/>
        <w:rPr>
          <w:rFonts w:ascii="Century Gothic" w:hAnsi="Century Gothic"/>
          <w:color w:val="FFFFFF"/>
          <w:sz w:val="40"/>
        </w:rPr>
      </w:pPr>
      <w:r>
        <w:rPr>
          <w:rFonts w:ascii="Century Gothic" w:hAnsi="Century Gothic"/>
          <w:color w:val="FFFFFF"/>
          <w:sz w:val="40"/>
        </w:rPr>
        <w:t xml:space="preserve">School Business Professional </w:t>
      </w:r>
      <w:r w:rsidR="00787C21">
        <w:rPr>
          <w:rFonts w:ascii="Century Gothic" w:hAnsi="Century Gothic"/>
          <w:color w:val="FFFFFF"/>
          <w:sz w:val="40"/>
        </w:rPr>
        <w:t>L4</w:t>
      </w:r>
    </w:p>
    <w:p w14:paraId="05A14958" w14:textId="77777777" w:rsidR="0003280F" w:rsidRPr="00424008" w:rsidRDefault="00723E69" w:rsidP="00424008">
      <w:pPr>
        <w:jc w:val="left"/>
        <w:rPr>
          <w:rFonts w:ascii="Century Gothic" w:hAnsi="Century Gothic"/>
          <w:color w:val="FFFFFF"/>
          <w:sz w:val="40"/>
        </w:rPr>
      </w:pPr>
      <w:r>
        <w:rPr>
          <w:rFonts w:ascii="Century Gothic" w:hAnsi="Century Gothic"/>
          <w:color w:val="FFFFFF"/>
          <w:sz w:val="40"/>
        </w:rPr>
        <w:t>Assessor</w:t>
      </w:r>
      <w:r w:rsidR="00714589">
        <w:rPr>
          <w:rFonts w:ascii="Century Gothic" w:hAnsi="Century Gothic"/>
          <w:color w:val="FFFFFF"/>
          <w:sz w:val="40"/>
        </w:rPr>
        <w:t xml:space="preserve"> </w:t>
      </w:r>
      <w:r w:rsidR="00A452B6">
        <w:rPr>
          <w:rFonts w:ascii="Century Gothic" w:hAnsi="Century Gothic"/>
          <w:color w:val="FFFFFF"/>
          <w:sz w:val="40"/>
        </w:rPr>
        <w:t>Application</w:t>
      </w:r>
    </w:p>
    <w:p w14:paraId="17875FAE" w14:textId="77777777" w:rsidR="0003280F" w:rsidRPr="0003280F" w:rsidRDefault="0003280F" w:rsidP="0003280F">
      <w:pPr>
        <w:sectPr w:rsidR="0003280F" w:rsidRPr="0003280F" w:rsidSect="0003280F">
          <w:footerReference w:type="default" r:id="rId8"/>
          <w:headerReference w:type="first" r:id="rId9"/>
          <w:pgSz w:w="11906" w:h="16838" w:code="9"/>
          <w:pgMar w:top="816" w:right="1134" w:bottom="2127" w:left="1134" w:header="709" w:footer="153" w:gutter="0"/>
          <w:pgNumType w:start="1"/>
          <w:cols w:space="708"/>
          <w:titlePg/>
          <w:docGrid w:linePitch="360"/>
        </w:sectPr>
      </w:pPr>
    </w:p>
    <w:p w14:paraId="3F6E5E38" w14:textId="69A34842" w:rsidR="00AC531E" w:rsidRPr="0044006C" w:rsidRDefault="00AC531E" w:rsidP="00AC531E">
      <w:pPr>
        <w:pStyle w:val="Heading1"/>
        <w:rPr>
          <w:rFonts w:ascii="Century Gothic" w:hAnsi="Century Gothic"/>
        </w:rPr>
      </w:pPr>
      <w:bookmarkStart w:id="1" w:name="_Toc241995536"/>
      <w:bookmarkStart w:id="2" w:name="_Toc286397343"/>
      <w:bookmarkEnd w:id="0"/>
      <w:r w:rsidRPr="0044006C">
        <w:rPr>
          <w:rFonts w:ascii="Century Gothic" w:hAnsi="Century Gothic"/>
        </w:rPr>
        <w:lastRenderedPageBreak/>
        <w:t xml:space="preserve">The </w:t>
      </w:r>
      <w:bookmarkEnd w:id="1"/>
      <w:bookmarkEnd w:id="2"/>
      <w:r w:rsidR="007600DB" w:rsidRPr="0044006C">
        <w:rPr>
          <w:rFonts w:ascii="Century Gothic" w:hAnsi="Century Gothic"/>
        </w:rPr>
        <w:t xml:space="preserve">SBP L4 </w:t>
      </w:r>
      <w:r w:rsidR="00723E69" w:rsidRPr="0044006C">
        <w:rPr>
          <w:rFonts w:ascii="Century Gothic" w:hAnsi="Century Gothic"/>
        </w:rPr>
        <w:t xml:space="preserve">Apprenticeship </w:t>
      </w:r>
      <w:r w:rsidR="00AA4E9B" w:rsidRPr="0044006C">
        <w:rPr>
          <w:rFonts w:ascii="Century Gothic" w:hAnsi="Century Gothic"/>
        </w:rPr>
        <w:t>Units</w:t>
      </w:r>
    </w:p>
    <w:p w14:paraId="0821532E" w14:textId="77777777" w:rsidR="00064CAC" w:rsidRPr="00241D23" w:rsidRDefault="00AC531E" w:rsidP="00241D23">
      <w:r>
        <w:t xml:space="preserve">This </w:t>
      </w:r>
      <w:r w:rsidR="00A452B6">
        <w:t xml:space="preserve">assessor application document </w:t>
      </w:r>
      <w:r>
        <w:t xml:space="preserve">is </w:t>
      </w:r>
      <w:r w:rsidR="00787C21">
        <w:t>relevant to</w:t>
      </w:r>
      <w:r>
        <w:t xml:space="preserve"> the following </w:t>
      </w:r>
      <w:r w:rsidR="00723E69">
        <w:t>units</w:t>
      </w:r>
      <w:r>
        <w:t xml:space="preserve"> that are integral to </w:t>
      </w:r>
      <w:r w:rsidR="00645221">
        <w:t>the delivery of</w:t>
      </w:r>
      <w:bookmarkStart w:id="3" w:name="_Toc286397344"/>
      <w:r w:rsidR="00645221">
        <w:t xml:space="preserve"> the </w:t>
      </w:r>
      <w:r w:rsidR="00723E69">
        <w:t xml:space="preserve">SBP </w:t>
      </w:r>
      <w:r w:rsidR="00787C21">
        <w:t xml:space="preserve">L4 </w:t>
      </w:r>
      <w:r w:rsidR="00723E69">
        <w:t>Apprenticeship</w:t>
      </w:r>
      <w:r w:rsidR="00645221">
        <w:t>.</w:t>
      </w:r>
      <w:r w:rsidR="00AA4E9B">
        <w:t xml:space="preserve"> Each unit will have been studied by apprentices coming to end-point assessment.</w:t>
      </w:r>
    </w:p>
    <w:bookmarkEnd w:id="3"/>
    <w:p w14:paraId="0180AE1B" w14:textId="77777777" w:rsidR="00B96AC6" w:rsidRPr="00B96AC6" w:rsidRDefault="00B96AC6" w:rsidP="00723E69">
      <w:pPr>
        <w:numPr>
          <w:ilvl w:val="0"/>
          <w:numId w:val="24"/>
        </w:numPr>
        <w:rPr>
          <w:iCs/>
        </w:rPr>
      </w:pPr>
      <w:r w:rsidRPr="00B96AC6">
        <w:t>Leading Support Services in a School</w:t>
      </w:r>
      <w:r>
        <w:t>.</w:t>
      </w:r>
    </w:p>
    <w:p w14:paraId="40A40399" w14:textId="046B8DC5" w:rsidR="00B96AC6" w:rsidRDefault="00B96AC6" w:rsidP="007600DB">
      <w:pPr>
        <w:ind w:left="360"/>
      </w:pPr>
      <w:r w:rsidRPr="00B96AC6">
        <w:t xml:space="preserve">This unit aims to develop the learners’ knowledge and skills relating to leadership and development in a school, managing change and policy and legislation that affects schools. It involves understanding leadership and development in a </w:t>
      </w:r>
      <w:r w:rsidR="0060442E" w:rsidRPr="00B96AC6">
        <w:t>school and</w:t>
      </w:r>
      <w:r w:rsidRPr="00B96AC6">
        <w:t xml:space="preserve"> equips learners with the knowledge and skills required to lead, develop and co-ordinate support services within a school or trust. </w:t>
      </w:r>
    </w:p>
    <w:p w14:paraId="6F2ACA7D" w14:textId="77777777" w:rsidR="00B96AC6" w:rsidRPr="00B96AC6" w:rsidRDefault="00B96AC6" w:rsidP="00B96AC6">
      <w:pPr>
        <w:numPr>
          <w:ilvl w:val="0"/>
          <w:numId w:val="24"/>
        </w:numPr>
        <w:rPr>
          <w:iCs/>
        </w:rPr>
      </w:pPr>
      <w:r w:rsidRPr="00B96AC6">
        <w:t>Finance in a School</w:t>
      </w:r>
      <w:r>
        <w:t>.</w:t>
      </w:r>
      <w:r w:rsidRPr="00B96AC6">
        <w:t xml:space="preserve"> </w:t>
      </w:r>
    </w:p>
    <w:p w14:paraId="57A714C5" w14:textId="77777777" w:rsidR="00B96AC6" w:rsidRDefault="00B96AC6" w:rsidP="007600DB">
      <w:pPr>
        <w:ind w:left="360"/>
      </w:pPr>
      <w:r>
        <w:t xml:space="preserve">This unit </w:t>
      </w:r>
      <w:r w:rsidRPr="00B96AC6">
        <w:t>aims to equip learners with the knowledge and skills needed to support finance decisions in a school, contribute to budget planni</w:t>
      </w:r>
      <w:bookmarkStart w:id="4" w:name="_GoBack"/>
      <w:bookmarkEnd w:id="4"/>
      <w:r w:rsidRPr="00B96AC6">
        <w:t xml:space="preserve">ng and delivery and how to manage financial control systems. It develops an understanding of school budget planning and delivery. The purpose of this unit is to equip learners with the knowledge and skills required to support the management of finances in a school. </w:t>
      </w:r>
    </w:p>
    <w:p w14:paraId="3FD4B10B" w14:textId="77777777" w:rsidR="00B96AC6" w:rsidRPr="00B96AC6" w:rsidRDefault="00B96AC6" w:rsidP="00B96AC6">
      <w:pPr>
        <w:numPr>
          <w:ilvl w:val="0"/>
          <w:numId w:val="24"/>
        </w:numPr>
        <w:rPr>
          <w:iCs/>
        </w:rPr>
      </w:pPr>
      <w:r w:rsidRPr="00B96AC6">
        <w:t>Procurement in a School</w:t>
      </w:r>
      <w:r>
        <w:t>.</w:t>
      </w:r>
      <w:r w:rsidRPr="00B96AC6">
        <w:t xml:space="preserve"> </w:t>
      </w:r>
    </w:p>
    <w:p w14:paraId="5D98C6EA" w14:textId="77777777" w:rsidR="00AA4E9B" w:rsidRDefault="00B96AC6" w:rsidP="007600DB">
      <w:pPr>
        <w:ind w:left="360"/>
      </w:pPr>
      <w:r>
        <w:t>This unit</w:t>
      </w:r>
      <w:r w:rsidRPr="00B96AC6">
        <w:t xml:space="preserve"> covers content relating to procurement strategy, managing the tendering process, and supporting contractor and supplier management. The purpose of this unit is to equip learners with the knowledge and skills required to support the tendering process to ensure value for money and oversee the management of contractors and suppliers in a school environment. </w:t>
      </w:r>
    </w:p>
    <w:p w14:paraId="4913E9A1" w14:textId="77777777" w:rsidR="00AA4E9B" w:rsidRPr="00AA4E9B" w:rsidRDefault="00B96AC6" w:rsidP="00AA4E9B">
      <w:pPr>
        <w:numPr>
          <w:ilvl w:val="0"/>
          <w:numId w:val="24"/>
        </w:numPr>
        <w:rPr>
          <w:iCs/>
        </w:rPr>
      </w:pPr>
      <w:r w:rsidRPr="00B96AC6">
        <w:t>Human Resource Management in a School</w:t>
      </w:r>
      <w:r w:rsidR="00AA4E9B">
        <w:t>.</w:t>
      </w:r>
    </w:p>
    <w:p w14:paraId="1BF6B18A" w14:textId="77777777" w:rsidR="00AA4E9B" w:rsidRDefault="00B96AC6" w:rsidP="007600DB">
      <w:pPr>
        <w:ind w:left="360"/>
      </w:pPr>
      <w:r w:rsidRPr="00B96AC6">
        <w:t xml:space="preserve">The purpose of this unit is to equip learners with the knowledge and skills required to manage human resources within a school environment and ensure regulatory and legal compliance. The HR unit includes: Understanding how employment and discrimination law impact school operations; reviewing school staffing structures; recruitment and selection processes, plus other sections on reward and recognition, etc. </w:t>
      </w:r>
    </w:p>
    <w:p w14:paraId="6205ABC2" w14:textId="77777777" w:rsidR="00AA4E9B" w:rsidRPr="00AA4E9B" w:rsidRDefault="00B96AC6" w:rsidP="00AA4E9B">
      <w:pPr>
        <w:numPr>
          <w:ilvl w:val="0"/>
          <w:numId w:val="24"/>
        </w:numPr>
        <w:rPr>
          <w:iCs/>
        </w:rPr>
      </w:pPr>
      <w:r w:rsidRPr="00B96AC6">
        <w:t>Marketing in a School</w:t>
      </w:r>
      <w:r w:rsidR="00AA4E9B">
        <w:t>.</w:t>
      </w:r>
    </w:p>
    <w:p w14:paraId="0E9B2D43" w14:textId="77777777" w:rsidR="00AA4E9B" w:rsidRDefault="00B96AC6" w:rsidP="007600DB">
      <w:pPr>
        <w:ind w:left="360"/>
      </w:pPr>
      <w:r w:rsidRPr="00B96AC6">
        <w:t xml:space="preserve">This unit aims to equip learners with the knowledge and skills needed to support the planning, management and review of a range of marketing activities in a school. The unit includes a variety of key marketing topics including the development of skills such as the planning and evaluation of school marketing activities. It will also enable the participant to be able to identify and plan income generating activity in a school and understand the importance of managing a school’s reputation. </w:t>
      </w:r>
    </w:p>
    <w:p w14:paraId="72241983" w14:textId="77777777" w:rsidR="00AA4E9B" w:rsidRDefault="00AA4E9B" w:rsidP="00AA4E9B">
      <w:pPr>
        <w:numPr>
          <w:ilvl w:val="0"/>
          <w:numId w:val="24"/>
        </w:numPr>
      </w:pPr>
      <w:r>
        <w:t>School Infrastructure Management.</w:t>
      </w:r>
    </w:p>
    <w:p w14:paraId="6DF39CF0" w14:textId="77777777" w:rsidR="00723E69" w:rsidRDefault="00AA4E9B" w:rsidP="007600DB">
      <w:pPr>
        <w:ind w:left="360"/>
      </w:pPr>
      <w:r>
        <w:t>The purpose of this unit is to equip learners with the knowledge and skills required to contribute to the planning, management and review of asset and capital activities in a school. Learners will develop an understanding of asset management in a school; be able to review and plan school asset management activities; be able to support capital management activities, and facilities management, in a school. Other objectives related to infrastructure management are included as well.</w:t>
      </w:r>
    </w:p>
    <w:p w14:paraId="35D8A830" w14:textId="77777777" w:rsidR="00AA4E9B" w:rsidRPr="00AA4E9B" w:rsidRDefault="00AA4E9B" w:rsidP="00AA4E9B">
      <w:pPr>
        <w:ind w:left="720"/>
      </w:pPr>
    </w:p>
    <w:p w14:paraId="53B8FCCC" w14:textId="77777777" w:rsidR="00AA4E9B" w:rsidRPr="0044006C" w:rsidRDefault="00AA4E9B" w:rsidP="00AA4E9B">
      <w:pPr>
        <w:pStyle w:val="Heading1"/>
        <w:rPr>
          <w:rFonts w:ascii="Century Gothic" w:hAnsi="Century Gothic"/>
          <w:sz w:val="30"/>
          <w:szCs w:val="30"/>
        </w:rPr>
      </w:pPr>
      <w:r w:rsidRPr="0044006C">
        <w:rPr>
          <w:rFonts w:ascii="Century Gothic" w:hAnsi="Century Gothic"/>
          <w:sz w:val="30"/>
          <w:szCs w:val="30"/>
        </w:rPr>
        <w:lastRenderedPageBreak/>
        <w:t>The assessment methodology</w:t>
      </w:r>
    </w:p>
    <w:p w14:paraId="7AC70342" w14:textId="77777777" w:rsidR="00AA4E9B" w:rsidRPr="00ED2616" w:rsidRDefault="00AA4E9B" w:rsidP="00AA4E9B">
      <w:pPr>
        <w:autoSpaceDE w:val="0"/>
        <w:autoSpaceDN w:val="0"/>
        <w:adjustRightInd w:val="0"/>
        <w:spacing w:after="0" w:line="240" w:lineRule="auto"/>
        <w:jc w:val="left"/>
        <w:rPr>
          <w:rFonts w:cs="Calibri"/>
          <w:color w:val="000000"/>
          <w:szCs w:val="22"/>
        </w:rPr>
      </w:pPr>
      <w:r w:rsidRPr="00ED2616">
        <w:rPr>
          <w:rFonts w:cs="Calibri"/>
          <w:color w:val="000000"/>
          <w:szCs w:val="22"/>
        </w:rPr>
        <w:t xml:space="preserve">The </w:t>
      </w:r>
      <w:r w:rsidR="006C160C" w:rsidRPr="00ED2616">
        <w:rPr>
          <w:rFonts w:cs="Calibri"/>
          <w:color w:val="000000"/>
          <w:szCs w:val="22"/>
        </w:rPr>
        <w:t>End-Point Assessment (</w:t>
      </w:r>
      <w:r w:rsidRPr="00ED2616">
        <w:rPr>
          <w:rFonts w:cs="Calibri"/>
          <w:color w:val="000000"/>
          <w:szCs w:val="22"/>
        </w:rPr>
        <w:t>EPA</w:t>
      </w:r>
      <w:r w:rsidR="006C160C" w:rsidRPr="00ED2616">
        <w:rPr>
          <w:rFonts w:cs="Calibri"/>
          <w:color w:val="000000"/>
          <w:szCs w:val="22"/>
        </w:rPr>
        <w:t>)</w:t>
      </w:r>
      <w:r w:rsidRPr="00ED2616">
        <w:rPr>
          <w:rFonts w:cs="Calibri"/>
          <w:color w:val="000000"/>
          <w:szCs w:val="22"/>
        </w:rPr>
        <w:t xml:space="preserve"> will test the apprentice against the entire standard. It consists of 2 assessment methods: </w:t>
      </w:r>
    </w:p>
    <w:p w14:paraId="3FD5036C" w14:textId="77777777" w:rsidR="00EC5525" w:rsidRPr="00ED2616" w:rsidRDefault="00EC5525" w:rsidP="00AA4E9B">
      <w:pPr>
        <w:autoSpaceDE w:val="0"/>
        <w:autoSpaceDN w:val="0"/>
        <w:adjustRightInd w:val="0"/>
        <w:spacing w:after="200" w:line="240" w:lineRule="auto"/>
        <w:jc w:val="left"/>
        <w:rPr>
          <w:rFonts w:cs="Calibri"/>
          <w:b/>
          <w:bCs/>
          <w:color w:val="000000"/>
          <w:sz w:val="16"/>
          <w:szCs w:val="16"/>
        </w:rPr>
      </w:pPr>
    </w:p>
    <w:p w14:paraId="69F1173B" w14:textId="77777777" w:rsidR="00AA4E9B" w:rsidRPr="00ED2616" w:rsidRDefault="00AA4E9B" w:rsidP="00AA4E9B">
      <w:pPr>
        <w:autoSpaceDE w:val="0"/>
        <w:autoSpaceDN w:val="0"/>
        <w:adjustRightInd w:val="0"/>
        <w:spacing w:after="200" w:line="240" w:lineRule="auto"/>
        <w:jc w:val="left"/>
        <w:rPr>
          <w:rFonts w:cs="Calibri"/>
          <w:color w:val="000000"/>
          <w:szCs w:val="22"/>
        </w:rPr>
      </w:pPr>
      <w:r w:rsidRPr="00ED2616">
        <w:rPr>
          <w:rFonts w:cs="Calibri"/>
          <w:b/>
          <w:bCs/>
          <w:color w:val="000000"/>
          <w:szCs w:val="22"/>
        </w:rPr>
        <w:t>Simulated task</w:t>
      </w:r>
      <w:r w:rsidRPr="00ED2616">
        <w:rPr>
          <w:rFonts w:cs="Calibri"/>
          <w:color w:val="000000"/>
          <w:szCs w:val="22"/>
        </w:rPr>
        <w:t xml:space="preserve">. The apprentice will be given a scenario situation, and, in timed controlled conditions, asked to write a short report and make a presentation which will be followed by questions. </w:t>
      </w:r>
    </w:p>
    <w:p w14:paraId="611519D5" w14:textId="77777777" w:rsidR="00AA4E9B" w:rsidRPr="00ED2616" w:rsidRDefault="00AA4E9B" w:rsidP="00EC5525">
      <w:pPr>
        <w:autoSpaceDE w:val="0"/>
        <w:autoSpaceDN w:val="0"/>
        <w:adjustRightInd w:val="0"/>
        <w:spacing w:after="0" w:line="240" w:lineRule="auto"/>
        <w:jc w:val="left"/>
        <w:rPr>
          <w:rFonts w:cs="Calibri"/>
          <w:color w:val="000000"/>
          <w:szCs w:val="22"/>
        </w:rPr>
      </w:pPr>
      <w:r w:rsidRPr="00ED2616">
        <w:rPr>
          <w:rFonts w:cs="Calibri"/>
          <w:b/>
          <w:bCs/>
          <w:color w:val="000000"/>
          <w:szCs w:val="22"/>
        </w:rPr>
        <w:t>Project report &amp; presentation with questions and answers (Q&amp;A)</w:t>
      </w:r>
      <w:r w:rsidRPr="00ED2616">
        <w:rPr>
          <w:rFonts w:cs="Calibri"/>
          <w:color w:val="000000"/>
          <w:szCs w:val="22"/>
        </w:rPr>
        <w:t>. The apprentice will write a formal, detailed structured report on the on-programme workplace project they have completed</w:t>
      </w:r>
      <w:r w:rsidR="00EC5525" w:rsidRPr="00ED2616">
        <w:rPr>
          <w:rFonts w:cs="Calibri"/>
          <w:color w:val="000000"/>
          <w:szCs w:val="22"/>
        </w:rPr>
        <w:t>.</w:t>
      </w:r>
      <w:r w:rsidRPr="00ED2616">
        <w:rPr>
          <w:rFonts w:cs="Calibri"/>
          <w:color w:val="000000"/>
          <w:szCs w:val="22"/>
        </w:rPr>
        <w:t xml:space="preserve"> The presentation of this will be followed by questions. </w:t>
      </w:r>
    </w:p>
    <w:p w14:paraId="018CF3B3" w14:textId="77777777" w:rsidR="00AA4E9B" w:rsidRPr="00ED2616" w:rsidRDefault="00AA4E9B" w:rsidP="00EC5525">
      <w:pPr>
        <w:autoSpaceDE w:val="0"/>
        <w:autoSpaceDN w:val="0"/>
        <w:adjustRightInd w:val="0"/>
        <w:spacing w:after="0" w:line="240" w:lineRule="auto"/>
        <w:jc w:val="left"/>
        <w:rPr>
          <w:rFonts w:cs="Calibri"/>
          <w:color w:val="000000"/>
          <w:sz w:val="16"/>
          <w:szCs w:val="16"/>
        </w:rPr>
      </w:pPr>
    </w:p>
    <w:p w14:paraId="67D3DDAB" w14:textId="6C98784E" w:rsidR="00EC5525" w:rsidRPr="007875F4" w:rsidRDefault="00AA4E9B" w:rsidP="007875F4">
      <w:pPr>
        <w:pStyle w:val="Heading1"/>
        <w:rPr>
          <w:rFonts w:ascii="Arial" w:hAnsi="Arial"/>
          <w:b w:val="0"/>
          <w:bCs w:val="0"/>
          <w:color w:val="000000"/>
          <w:kern w:val="0"/>
          <w:sz w:val="23"/>
          <w:szCs w:val="23"/>
        </w:rPr>
      </w:pPr>
      <w:r w:rsidRPr="00ED2616">
        <w:rPr>
          <w:rFonts w:cs="Calibri"/>
          <w:b w:val="0"/>
          <w:bCs w:val="0"/>
          <w:color w:val="000000"/>
          <w:kern w:val="0"/>
          <w:sz w:val="22"/>
          <w:szCs w:val="22"/>
        </w:rPr>
        <w:t>The knowledge, skills and behaviours (KSBs) to be tested by each assessment method are set out in Annex 1</w:t>
      </w:r>
      <w:r w:rsidR="006C160C" w:rsidRPr="00ED2616">
        <w:rPr>
          <w:rFonts w:cs="Calibri"/>
          <w:b w:val="0"/>
          <w:bCs w:val="0"/>
          <w:color w:val="000000"/>
          <w:kern w:val="0"/>
          <w:sz w:val="22"/>
          <w:szCs w:val="22"/>
        </w:rPr>
        <w:t xml:space="preserve"> and </w:t>
      </w:r>
      <w:r w:rsidR="006C160C" w:rsidRPr="00ED2616">
        <w:rPr>
          <w:rFonts w:cs="Calibri"/>
          <w:bCs w:val="0"/>
          <w:color w:val="000000"/>
          <w:kern w:val="0"/>
          <w:sz w:val="22"/>
          <w:szCs w:val="22"/>
        </w:rPr>
        <w:t>must</w:t>
      </w:r>
      <w:r w:rsidR="006C160C" w:rsidRPr="00ED2616">
        <w:rPr>
          <w:rFonts w:cs="Calibri"/>
          <w:b w:val="0"/>
          <w:bCs w:val="0"/>
          <w:color w:val="000000"/>
          <w:kern w:val="0"/>
          <w:sz w:val="22"/>
          <w:szCs w:val="22"/>
        </w:rPr>
        <w:t xml:space="preserve"> be read as part of the application.</w:t>
      </w:r>
    </w:p>
    <w:p w14:paraId="45EBCF23" w14:textId="77777777" w:rsidR="00262DD5" w:rsidRPr="0044006C" w:rsidRDefault="00262DD5" w:rsidP="00262DD5">
      <w:pPr>
        <w:pStyle w:val="Heading1"/>
        <w:rPr>
          <w:rFonts w:ascii="Century Gothic" w:hAnsi="Century Gothic"/>
          <w:sz w:val="30"/>
          <w:szCs w:val="30"/>
        </w:rPr>
      </w:pPr>
      <w:r w:rsidRPr="0044006C">
        <w:rPr>
          <w:rFonts w:ascii="Century Gothic" w:hAnsi="Century Gothic"/>
          <w:sz w:val="30"/>
          <w:szCs w:val="30"/>
        </w:rPr>
        <w:t xml:space="preserve">Assessor requirements </w:t>
      </w:r>
    </w:p>
    <w:p w14:paraId="027643FD" w14:textId="77777777" w:rsidR="00262DD5" w:rsidRPr="00ED2616" w:rsidRDefault="00262DD5" w:rsidP="00262DD5">
      <w:pPr>
        <w:autoSpaceDE w:val="0"/>
        <w:autoSpaceDN w:val="0"/>
        <w:adjustRightInd w:val="0"/>
        <w:spacing w:after="0" w:line="240" w:lineRule="auto"/>
        <w:jc w:val="left"/>
        <w:rPr>
          <w:rFonts w:cs="Calibri"/>
          <w:color w:val="000000"/>
          <w:szCs w:val="22"/>
        </w:rPr>
      </w:pPr>
      <w:r w:rsidRPr="00ED2616">
        <w:rPr>
          <w:rFonts w:cs="Calibri"/>
          <w:color w:val="000000"/>
          <w:szCs w:val="22"/>
        </w:rPr>
        <w:t xml:space="preserve">EPA must be undertaken by an independent assessor appointed by an </w:t>
      </w:r>
      <w:r w:rsidR="006C160C" w:rsidRPr="00ED2616">
        <w:rPr>
          <w:rFonts w:cs="Calibri"/>
          <w:color w:val="000000"/>
          <w:szCs w:val="22"/>
        </w:rPr>
        <w:t>End-Point Assessment Organisation (</w:t>
      </w:r>
      <w:r w:rsidRPr="00ED2616">
        <w:rPr>
          <w:rFonts w:cs="Calibri"/>
          <w:color w:val="000000"/>
          <w:szCs w:val="22"/>
        </w:rPr>
        <w:t>EPAO</w:t>
      </w:r>
      <w:r w:rsidR="006C160C" w:rsidRPr="00ED2616">
        <w:rPr>
          <w:rFonts w:cs="Calibri"/>
          <w:color w:val="000000"/>
          <w:szCs w:val="22"/>
        </w:rPr>
        <w:t>)</w:t>
      </w:r>
      <w:r w:rsidRPr="00ED2616">
        <w:rPr>
          <w:rFonts w:cs="Calibri"/>
          <w:color w:val="000000"/>
          <w:szCs w:val="22"/>
        </w:rPr>
        <w:t xml:space="preserve">. EPAOs are responsible for appointing appropriately qualified independent assessors. </w:t>
      </w:r>
    </w:p>
    <w:p w14:paraId="0E1B0553" w14:textId="77777777" w:rsidR="00262DD5" w:rsidRPr="00ED2616" w:rsidRDefault="00262DD5" w:rsidP="00262DD5">
      <w:pPr>
        <w:autoSpaceDE w:val="0"/>
        <w:autoSpaceDN w:val="0"/>
        <w:adjustRightInd w:val="0"/>
        <w:spacing w:after="0" w:line="240" w:lineRule="auto"/>
        <w:jc w:val="left"/>
        <w:rPr>
          <w:rFonts w:cs="Calibri"/>
          <w:color w:val="000000"/>
          <w:szCs w:val="22"/>
        </w:rPr>
      </w:pPr>
    </w:p>
    <w:p w14:paraId="3DA7EE69" w14:textId="77777777" w:rsidR="00262DD5" w:rsidRPr="007875F4" w:rsidRDefault="00262DD5" w:rsidP="00262DD5">
      <w:pPr>
        <w:autoSpaceDE w:val="0"/>
        <w:autoSpaceDN w:val="0"/>
        <w:adjustRightInd w:val="0"/>
        <w:spacing w:after="0" w:line="240" w:lineRule="auto"/>
        <w:jc w:val="left"/>
        <w:rPr>
          <w:rFonts w:cs="Calibri"/>
          <w:b/>
          <w:bCs/>
          <w:color w:val="000000"/>
          <w:szCs w:val="22"/>
        </w:rPr>
      </w:pPr>
      <w:r w:rsidRPr="007875F4">
        <w:rPr>
          <w:rFonts w:cs="Calibri"/>
          <w:b/>
          <w:bCs/>
          <w:color w:val="000000"/>
          <w:szCs w:val="22"/>
        </w:rPr>
        <w:t xml:space="preserve">Independent assessors must: </w:t>
      </w:r>
    </w:p>
    <w:p w14:paraId="6E7217E5" w14:textId="77777777" w:rsidR="00262DD5" w:rsidRPr="00ED2616" w:rsidRDefault="00262DD5" w:rsidP="00262DD5">
      <w:pPr>
        <w:autoSpaceDE w:val="0"/>
        <w:autoSpaceDN w:val="0"/>
        <w:adjustRightInd w:val="0"/>
        <w:spacing w:after="0" w:line="240" w:lineRule="auto"/>
        <w:jc w:val="left"/>
        <w:rPr>
          <w:rFonts w:cs="Calibri"/>
          <w:color w:val="000000"/>
          <w:szCs w:val="22"/>
        </w:rPr>
      </w:pPr>
    </w:p>
    <w:p w14:paraId="2A0B9FA8" w14:textId="77777777" w:rsidR="00262DD5" w:rsidRPr="00ED2616" w:rsidRDefault="00262DD5" w:rsidP="00262DD5">
      <w:pPr>
        <w:numPr>
          <w:ilvl w:val="0"/>
          <w:numId w:val="24"/>
        </w:numPr>
        <w:autoSpaceDE w:val="0"/>
        <w:autoSpaceDN w:val="0"/>
        <w:adjustRightInd w:val="0"/>
        <w:spacing w:after="78" w:line="240" w:lineRule="auto"/>
        <w:jc w:val="left"/>
        <w:rPr>
          <w:rFonts w:cs="Calibri"/>
          <w:color w:val="000000"/>
          <w:szCs w:val="22"/>
        </w:rPr>
      </w:pPr>
      <w:r w:rsidRPr="00ED2616">
        <w:rPr>
          <w:rFonts w:cs="Calibri"/>
          <w:color w:val="000000"/>
          <w:szCs w:val="22"/>
        </w:rPr>
        <w:t xml:space="preserve">Be independent of the apprentice, their employer and training provider, i.e. there must be no conflict of interest </w:t>
      </w:r>
    </w:p>
    <w:p w14:paraId="1AF8C66D" w14:textId="77777777" w:rsidR="00262DD5" w:rsidRPr="00ED2616" w:rsidRDefault="00262DD5" w:rsidP="00262DD5">
      <w:pPr>
        <w:numPr>
          <w:ilvl w:val="0"/>
          <w:numId w:val="24"/>
        </w:numPr>
        <w:autoSpaceDE w:val="0"/>
        <w:autoSpaceDN w:val="0"/>
        <w:adjustRightInd w:val="0"/>
        <w:spacing w:after="78" w:line="240" w:lineRule="auto"/>
        <w:jc w:val="left"/>
        <w:rPr>
          <w:rFonts w:cs="Calibri"/>
          <w:color w:val="000000"/>
          <w:szCs w:val="22"/>
        </w:rPr>
      </w:pPr>
      <w:r w:rsidRPr="00ED2616">
        <w:rPr>
          <w:rFonts w:cs="Calibri"/>
          <w:color w:val="000000"/>
          <w:szCs w:val="22"/>
        </w:rPr>
        <w:t>Have 5-</w:t>
      </w:r>
      <w:r w:rsidR="00CF18C6" w:rsidRPr="00ED2616">
        <w:rPr>
          <w:rFonts w:cs="Calibri"/>
          <w:color w:val="000000"/>
          <w:szCs w:val="22"/>
        </w:rPr>
        <w:t>years’ experience</w:t>
      </w:r>
      <w:r w:rsidRPr="00ED2616">
        <w:rPr>
          <w:rFonts w:cs="Calibri"/>
          <w:color w:val="000000"/>
          <w:szCs w:val="22"/>
        </w:rPr>
        <w:t xml:space="preserve"> of working in leadership and management in an educational organisational setting </w:t>
      </w:r>
      <w:r w:rsidRPr="00ED2616">
        <w:rPr>
          <w:rFonts w:cs="Calibri"/>
          <w:i/>
          <w:iCs/>
          <w:color w:val="000000"/>
          <w:szCs w:val="22"/>
        </w:rPr>
        <w:t xml:space="preserve">and/or </w:t>
      </w:r>
      <w:r w:rsidRPr="00ED2616">
        <w:rPr>
          <w:rFonts w:cs="Calibri"/>
          <w:color w:val="000000"/>
          <w:szCs w:val="22"/>
        </w:rPr>
        <w:t xml:space="preserve">hold a leadership and management qualification, at a minimum of level 5 </w:t>
      </w:r>
      <w:r w:rsidRPr="00ED2616">
        <w:rPr>
          <w:rFonts w:cs="Calibri"/>
          <w:i/>
          <w:iCs/>
          <w:color w:val="000000"/>
          <w:szCs w:val="22"/>
        </w:rPr>
        <w:t xml:space="preserve">and/or </w:t>
      </w:r>
      <w:r w:rsidRPr="00ED2616">
        <w:rPr>
          <w:rFonts w:cs="Calibri"/>
          <w:color w:val="000000"/>
          <w:szCs w:val="22"/>
        </w:rPr>
        <w:t xml:space="preserve">a qualification in School Business Management, at a minimum of a Level 5 (or equivalent) </w:t>
      </w:r>
    </w:p>
    <w:p w14:paraId="54E107A2" w14:textId="77777777" w:rsidR="00262DD5" w:rsidRPr="00ED2616" w:rsidRDefault="00262DD5" w:rsidP="00262DD5">
      <w:pPr>
        <w:numPr>
          <w:ilvl w:val="0"/>
          <w:numId w:val="24"/>
        </w:numPr>
        <w:autoSpaceDE w:val="0"/>
        <w:autoSpaceDN w:val="0"/>
        <w:adjustRightInd w:val="0"/>
        <w:spacing w:after="0" w:line="240" w:lineRule="auto"/>
        <w:jc w:val="left"/>
        <w:rPr>
          <w:rFonts w:cs="Calibri"/>
          <w:color w:val="000000"/>
          <w:szCs w:val="22"/>
        </w:rPr>
      </w:pPr>
      <w:r w:rsidRPr="00ED2616">
        <w:rPr>
          <w:rFonts w:cs="Calibri"/>
          <w:color w:val="000000"/>
          <w:szCs w:val="22"/>
        </w:rPr>
        <w:t xml:space="preserve">Hold a recognised assessment qualification or have been trained in assessment practice by their EPAO </w:t>
      </w:r>
    </w:p>
    <w:p w14:paraId="57EEA8FE" w14:textId="77777777" w:rsidR="00262DD5" w:rsidRPr="00ED2616" w:rsidRDefault="00262DD5" w:rsidP="00262DD5">
      <w:pPr>
        <w:autoSpaceDE w:val="0"/>
        <w:autoSpaceDN w:val="0"/>
        <w:adjustRightInd w:val="0"/>
        <w:spacing w:after="0" w:line="240" w:lineRule="auto"/>
        <w:jc w:val="left"/>
        <w:rPr>
          <w:rFonts w:cs="Calibri"/>
          <w:color w:val="000000"/>
          <w:szCs w:val="22"/>
        </w:rPr>
      </w:pPr>
    </w:p>
    <w:p w14:paraId="79D5FBA0" w14:textId="77777777" w:rsidR="00262DD5" w:rsidRDefault="00262DD5" w:rsidP="00262DD5">
      <w:pPr>
        <w:pStyle w:val="Heading1"/>
        <w:rPr>
          <w:rFonts w:ascii="Arial" w:hAnsi="Arial"/>
          <w:b w:val="0"/>
          <w:bCs w:val="0"/>
          <w:color w:val="000000"/>
          <w:kern w:val="0"/>
          <w:sz w:val="23"/>
          <w:szCs w:val="23"/>
        </w:rPr>
      </w:pPr>
      <w:r w:rsidRPr="00ED2616">
        <w:rPr>
          <w:rFonts w:cs="Calibri"/>
          <w:b w:val="0"/>
          <w:bCs w:val="0"/>
          <w:color w:val="000000"/>
          <w:kern w:val="0"/>
          <w:sz w:val="22"/>
          <w:szCs w:val="22"/>
        </w:rPr>
        <w:t>It is also desirable but not essential that independent assessors have membership of a professional institute or association appropriate to the level and subject area of the qualification.</w:t>
      </w:r>
      <w:r w:rsidRPr="00262DD5">
        <w:rPr>
          <w:rFonts w:ascii="Arial" w:hAnsi="Arial"/>
          <w:b w:val="0"/>
          <w:bCs w:val="0"/>
          <w:color w:val="000000"/>
          <w:kern w:val="0"/>
          <w:sz w:val="23"/>
          <w:szCs w:val="23"/>
        </w:rPr>
        <w:t xml:space="preserve"> </w:t>
      </w:r>
    </w:p>
    <w:p w14:paraId="5C2096D5" w14:textId="304C3EA6" w:rsidR="001203BB" w:rsidRPr="001203BB" w:rsidRDefault="00B026B7" w:rsidP="001203BB">
      <w:r>
        <w:t>IMPORTANT: Please note that all assessors selected by BPN must be able to commit to a minimum of 1</w:t>
      </w:r>
      <w:r w:rsidR="00AA6CCF">
        <w:t>1</w:t>
      </w:r>
      <w:r>
        <w:t xml:space="preserve"> days per year for assessment activity</w:t>
      </w:r>
      <w:r w:rsidR="00AA6CCF">
        <w:t xml:space="preserve"> and training</w:t>
      </w:r>
    </w:p>
    <w:p w14:paraId="694747C9" w14:textId="77777777" w:rsidR="00262DD5" w:rsidRPr="0044006C" w:rsidRDefault="00262DD5" w:rsidP="00A452B6">
      <w:pPr>
        <w:pStyle w:val="Heading1"/>
        <w:rPr>
          <w:rFonts w:ascii="Century Gothic" w:hAnsi="Century Gothic"/>
          <w:sz w:val="30"/>
          <w:szCs w:val="30"/>
        </w:rPr>
      </w:pPr>
      <w:r w:rsidRPr="0044006C">
        <w:rPr>
          <w:rFonts w:ascii="Century Gothic" w:hAnsi="Century Gothic"/>
          <w:sz w:val="30"/>
          <w:szCs w:val="30"/>
        </w:rPr>
        <w:t xml:space="preserve">Purpose of the </w:t>
      </w:r>
      <w:r w:rsidR="006C160C" w:rsidRPr="0044006C">
        <w:rPr>
          <w:rFonts w:ascii="Century Gothic" w:hAnsi="Century Gothic"/>
          <w:sz w:val="30"/>
          <w:szCs w:val="30"/>
        </w:rPr>
        <w:t>application</w:t>
      </w:r>
    </w:p>
    <w:p w14:paraId="6E99E520" w14:textId="77777777" w:rsidR="00262DD5" w:rsidRPr="007875F4" w:rsidRDefault="00262DD5" w:rsidP="00262DD5">
      <w:pPr>
        <w:jc w:val="left"/>
        <w:rPr>
          <w:b/>
          <w:bCs/>
        </w:rPr>
      </w:pPr>
      <w:r w:rsidRPr="007875F4">
        <w:rPr>
          <w:b/>
          <w:bCs/>
        </w:rPr>
        <w:t>Completion of th</w:t>
      </w:r>
      <w:r w:rsidR="00CF18C6" w:rsidRPr="007875F4">
        <w:rPr>
          <w:b/>
          <w:bCs/>
        </w:rPr>
        <w:t>is</w:t>
      </w:r>
      <w:r w:rsidRPr="007875F4">
        <w:rPr>
          <w:b/>
          <w:bCs/>
        </w:rPr>
        <w:t xml:space="preserve"> </w:t>
      </w:r>
      <w:r w:rsidR="006C160C" w:rsidRPr="007875F4">
        <w:rPr>
          <w:b/>
          <w:bCs/>
        </w:rPr>
        <w:t>application</w:t>
      </w:r>
      <w:r w:rsidRPr="007875F4">
        <w:rPr>
          <w:b/>
          <w:bCs/>
        </w:rPr>
        <w:t xml:space="preserve"> </w:t>
      </w:r>
      <w:r w:rsidR="00CF18C6" w:rsidRPr="007875F4">
        <w:rPr>
          <w:b/>
          <w:bCs/>
        </w:rPr>
        <w:t xml:space="preserve">document </w:t>
      </w:r>
      <w:r w:rsidRPr="007875F4">
        <w:rPr>
          <w:b/>
          <w:bCs/>
        </w:rPr>
        <w:t>will support decision around the:</w:t>
      </w:r>
    </w:p>
    <w:p w14:paraId="20F7E72D" w14:textId="77777777" w:rsidR="00262DD5" w:rsidRDefault="00262DD5" w:rsidP="00262DD5">
      <w:pPr>
        <w:numPr>
          <w:ilvl w:val="0"/>
          <w:numId w:val="19"/>
        </w:numPr>
        <w:jc w:val="left"/>
      </w:pPr>
      <w:r>
        <w:t>Selection of assessors</w:t>
      </w:r>
    </w:p>
    <w:p w14:paraId="616C6836" w14:textId="77777777" w:rsidR="00262DD5" w:rsidRDefault="00262DD5" w:rsidP="00262DD5">
      <w:pPr>
        <w:numPr>
          <w:ilvl w:val="0"/>
          <w:numId w:val="19"/>
        </w:numPr>
        <w:jc w:val="left"/>
      </w:pPr>
      <w:r>
        <w:t>Deployment of assessors</w:t>
      </w:r>
    </w:p>
    <w:p w14:paraId="16E6C8AB" w14:textId="77777777" w:rsidR="00262DD5" w:rsidRDefault="00262DD5" w:rsidP="00262DD5">
      <w:pPr>
        <w:numPr>
          <w:ilvl w:val="0"/>
          <w:numId w:val="19"/>
        </w:numPr>
        <w:jc w:val="left"/>
      </w:pPr>
      <w:r>
        <w:t>Ongoing training and support of assessors</w:t>
      </w:r>
    </w:p>
    <w:p w14:paraId="1BA4409D" w14:textId="7BEBD99A" w:rsidR="006D70D2" w:rsidRPr="0044006C" w:rsidRDefault="006D70D2" w:rsidP="006D70D2">
      <w:pPr>
        <w:pStyle w:val="Heading1"/>
        <w:rPr>
          <w:rFonts w:ascii="Century Gothic" w:hAnsi="Century Gothic"/>
        </w:rPr>
      </w:pPr>
      <w:bookmarkStart w:id="5" w:name="_Toc241995538"/>
      <w:bookmarkStart w:id="6" w:name="_Toc286397350"/>
      <w:r w:rsidRPr="0044006C">
        <w:rPr>
          <w:rFonts w:ascii="Century Gothic" w:hAnsi="Century Gothic"/>
        </w:rPr>
        <w:lastRenderedPageBreak/>
        <w:t>SBP L4 EPA Assessor</w:t>
      </w:r>
      <w:bookmarkEnd w:id="5"/>
      <w:bookmarkEnd w:id="6"/>
      <w:r w:rsidRPr="0044006C">
        <w:rPr>
          <w:rFonts w:ascii="Century Gothic" w:hAnsi="Century Gothic"/>
        </w:rPr>
        <w:t xml:space="preserve"> Application </w:t>
      </w:r>
    </w:p>
    <w:p w14:paraId="713F5C59" w14:textId="1D20D482" w:rsidR="006D70D2" w:rsidRPr="0044006C" w:rsidRDefault="006D70D2" w:rsidP="006D70D2">
      <w:pPr>
        <w:pStyle w:val="Heading2"/>
        <w:rPr>
          <w:rFonts w:ascii="Century Gothic" w:hAnsi="Century Gothic"/>
          <w:sz w:val="30"/>
          <w:szCs w:val="30"/>
        </w:rPr>
      </w:pPr>
      <w:r w:rsidRPr="0044006C">
        <w:rPr>
          <w:rFonts w:ascii="Century Gothic" w:hAnsi="Century Gothic"/>
          <w:sz w:val="30"/>
          <w:szCs w:val="30"/>
        </w:rPr>
        <w:t>Competency Matrix</w:t>
      </w:r>
    </w:p>
    <w:p w14:paraId="26C6BDD1" w14:textId="77777777" w:rsidR="006D70D2" w:rsidRPr="004A17D7" w:rsidRDefault="006D70D2" w:rsidP="006D70D2">
      <w:r w:rsidRPr="004A17D7">
        <w:t xml:space="preserve">Each apprenticeship standard sets out very clear requirements for occupational competency that we must ensure our assessment team meet. Please provide </w:t>
      </w:r>
      <w:r w:rsidRPr="004A17D7">
        <w:rPr>
          <w:u w:val="single"/>
        </w:rPr>
        <w:t>detailed information</w:t>
      </w:r>
      <w:r w:rsidRPr="004A17D7">
        <w:t xml:space="preserve"> for how you meet the requirements of the standards you are applying to assess.</w:t>
      </w:r>
    </w:p>
    <w:p w14:paraId="316CBB97" w14:textId="0A23EB59" w:rsidR="006D70D2" w:rsidRDefault="006D70D2" w:rsidP="006D70D2">
      <w:pPr>
        <w:rPr>
          <w:u w:val="single"/>
        </w:rPr>
      </w:pPr>
      <w:r w:rsidRPr="004A17D7">
        <w:rPr>
          <w:u w:val="single"/>
        </w:rPr>
        <w:t>This is a key requirement of your application.</w:t>
      </w:r>
    </w:p>
    <w:p w14:paraId="39A2EA5C" w14:textId="77777777" w:rsidR="007875F4" w:rsidRPr="004A17D7" w:rsidRDefault="007875F4" w:rsidP="006D70D2">
      <w:pPr>
        <w:rPr>
          <w:u w:val="single"/>
        </w:rPr>
      </w:pP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38"/>
        <w:gridCol w:w="7390"/>
      </w:tblGrid>
      <w:tr w:rsidR="00FB6152" w14:paraId="0CE93F4D" w14:textId="77777777" w:rsidTr="00FB6152">
        <w:tc>
          <w:tcPr>
            <w:tcW w:w="2263" w:type="dxa"/>
            <w:shd w:val="clear" w:color="auto" w:fill="D9D9D9"/>
          </w:tcPr>
          <w:p w14:paraId="33656054" w14:textId="77777777" w:rsidR="006D70D2" w:rsidRPr="00FB6152" w:rsidRDefault="006D70D2" w:rsidP="00EB370C">
            <w:pPr>
              <w:pStyle w:val="BPNtablebody"/>
              <w:rPr>
                <w:bCs/>
              </w:rPr>
            </w:pPr>
            <w:r w:rsidRPr="00FB6152">
              <w:rPr>
                <w:bCs/>
              </w:rPr>
              <w:t>Name</w:t>
            </w:r>
          </w:p>
        </w:tc>
        <w:tc>
          <w:tcPr>
            <w:tcW w:w="7513" w:type="dxa"/>
            <w:shd w:val="clear" w:color="auto" w:fill="FFFFFF"/>
          </w:tcPr>
          <w:p w14:paraId="532D5380" w14:textId="77777777" w:rsidR="006D70D2" w:rsidRPr="00FB6152" w:rsidRDefault="006D70D2" w:rsidP="00EB370C">
            <w:pPr>
              <w:pStyle w:val="BPNtablebody"/>
              <w:rPr>
                <w:bCs/>
              </w:rPr>
            </w:pPr>
          </w:p>
        </w:tc>
      </w:tr>
      <w:tr w:rsidR="00FB6152" w14:paraId="1AEADBA4" w14:textId="77777777" w:rsidTr="00FB6152">
        <w:tc>
          <w:tcPr>
            <w:tcW w:w="2263" w:type="dxa"/>
            <w:shd w:val="clear" w:color="auto" w:fill="D9D9D9"/>
          </w:tcPr>
          <w:p w14:paraId="6B2E32BB" w14:textId="77777777" w:rsidR="006D70D2" w:rsidRPr="004A17D7" w:rsidRDefault="006D70D2" w:rsidP="00EB370C">
            <w:pPr>
              <w:pStyle w:val="BPNtablebody"/>
            </w:pPr>
            <w:r w:rsidRPr="004A17D7">
              <w:t>Date</w:t>
            </w:r>
          </w:p>
        </w:tc>
        <w:tc>
          <w:tcPr>
            <w:tcW w:w="7513" w:type="dxa"/>
            <w:shd w:val="clear" w:color="auto" w:fill="auto"/>
          </w:tcPr>
          <w:p w14:paraId="665D0DE4" w14:textId="77777777" w:rsidR="006D70D2" w:rsidRPr="006B13E3" w:rsidRDefault="006D70D2" w:rsidP="00EB370C">
            <w:pPr>
              <w:pStyle w:val="BPNtablebody"/>
            </w:pPr>
          </w:p>
        </w:tc>
      </w:tr>
    </w:tbl>
    <w:p w14:paraId="64847D46" w14:textId="49C6C4B0" w:rsidR="00FD55CC" w:rsidRDefault="00FD55CC"/>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2248"/>
        <w:gridCol w:w="7380"/>
      </w:tblGrid>
      <w:tr w:rsidR="00FB6152" w14:paraId="401ED90C" w14:textId="77777777" w:rsidTr="00FB6152">
        <w:trPr>
          <w:trHeight w:val="2111"/>
        </w:trPr>
        <w:tc>
          <w:tcPr>
            <w:tcW w:w="2263" w:type="dxa"/>
            <w:shd w:val="clear" w:color="auto" w:fill="D9D9D9"/>
          </w:tcPr>
          <w:p w14:paraId="3EF8E710" w14:textId="4CAB590F" w:rsidR="006D70D2" w:rsidRPr="00FB6152" w:rsidRDefault="006D70D2" w:rsidP="00EB370C">
            <w:pPr>
              <w:pStyle w:val="BPNtablebody"/>
              <w:rPr>
                <w:bCs/>
              </w:rPr>
            </w:pPr>
            <w:r w:rsidRPr="00FB6152">
              <w:rPr>
                <w:bCs/>
              </w:rPr>
              <w:t>Assessor qualifications and dates achieved (or dates expected if working towards)</w:t>
            </w:r>
          </w:p>
        </w:tc>
        <w:tc>
          <w:tcPr>
            <w:tcW w:w="7513" w:type="dxa"/>
            <w:shd w:val="clear" w:color="auto" w:fill="FFFFFF"/>
          </w:tcPr>
          <w:p w14:paraId="6067516C" w14:textId="77777777" w:rsidR="006D70D2" w:rsidRPr="00FB6152" w:rsidRDefault="006D70D2" w:rsidP="00EB370C">
            <w:pPr>
              <w:rPr>
                <w:rFonts w:cs="Calibri"/>
                <w:bCs/>
                <w:sz w:val="24"/>
              </w:rPr>
            </w:pPr>
          </w:p>
          <w:p w14:paraId="2CE5D12B" w14:textId="77777777" w:rsidR="006D70D2" w:rsidRPr="00FB6152" w:rsidRDefault="006D70D2" w:rsidP="00EB370C">
            <w:pPr>
              <w:rPr>
                <w:rFonts w:cs="Calibri"/>
                <w:bCs/>
                <w:sz w:val="24"/>
              </w:rPr>
            </w:pPr>
          </w:p>
          <w:p w14:paraId="2665F68B" w14:textId="77777777" w:rsidR="006D70D2" w:rsidRPr="00FB6152" w:rsidRDefault="006D70D2" w:rsidP="00EB370C">
            <w:pPr>
              <w:rPr>
                <w:rFonts w:cs="Calibri"/>
                <w:bCs/>
                <w:sz w:val="24"/>
              </w:rPr>
            </w:pPr>
          </w:p>
          <w:p w14:paraId="58868830" w14:textId="77777777" w:rsidR="006D70D2" w:rsidRPr="00FB6152" w:rsidRDefault="006D70D2" w:rsidP="00EB370C">
            <w:pPr>
              <w:rPr>
                <w:rFonts w:cs="Calibri"/>
                <w:bCs/>
                <w:sz w:val="24"/>
              </w:rPr>
            </w:pPr>
          </w:p>
          <w:p w14:paraId="394362DC" w14:textId="77777777" w:rsidR="00FD55CC" w:rsidRPr="00FB6152" w:rsidRDefault="00FD55CC" w:rsidP="00EB370C">
            <w:pPr>
              <w:rPr>
                <w:rFonts w:cs="Calibri"/>
                <w:bCs/>
                <w:sz w:val="24"/>
              </w:rPr>
            </w:pPr>
          </w:p>
          <w:p w14:paraId="1978FC23" w14:textId="77777777" w:rsidR="00FD55CC" w:rsidRPr="00FB6152" w:rsidRDefault="00FD55CC" w:rsidP="00EB370C">
            <w:pPr>
              <w:rPr>
                <w:rFonts w:cs="Calibri"/>
                <w:bCs/>
                <w:sz w:val="24"/>
              </w:rPr>
            </w:pPr>
          </w:p>
          <w:p w14:paraId="732F9135" w14:textId="77777777" w:rsidR="00FD55CC" w:rsidRPr="00FB6152" w:rsidRDefault="00FD55CC" w:rsidP="00EB370C">
            <w:pPr>
              <w:rPr>
                <w:rFonts w:cs="Calibri"/>
                <w:bCs/>
                <w:sz w:val="24"/>
              </w:rPr>
            </w:pPr>
          </w:p>
          <w:p w14:paraId="6DC52B66" w14:textId="2E25C7EC" w:rsidR="00FD55CC" w:rsidRPr="00FB6152" w:rsidRDefault="00FD55CC" w:rsidP="00EB370C">
            <w:pPr>
              <w:rPr>
                <w:rFonts w:cs="Calibri"/>
                <w:bCs/>
                <w:sz w:val="24"/>
              </w:rPr>
            </w:pPr>
          </w:p>
        </w:tc>
      </w:tr>
    </w:tbl>
    <w:p w14:paraId="20C2DF74" w14:textId="77777777" w:rsidR="006D70D2" w:rsidRPr="006D70D2" w:rsidRDefault="006D70D2" w:rsidP="006D70D2">
      <w:pPr>
        <w:spacing w:after="0"/>
        <w:rPr>
          <w:vanish/>
        </w:rPr>
      </w:pPr>
    </w:p>
    <w:p w14:paraId="2D475A22" w14:textId="77777777" w:rsidR="00FD55CC" w:rsidRDefault="00FD55CC" w:rsidP="00EB370C">
      <w:pPr>
        <w:rPr>
          <w:bCs/>
        </w:rPr>
        <w:sectPr w:rsidR="00FD55CC" w:rsidSect="0003280F">
          <w:headerReference w:type="default" r:id="rId10"/>
          <w:footerReference w:type="default" r:id="rId11"/>
          <w:headerReference w:type="first" r:id="rId12"/>
          <w:footerReference w:type="first" r:id="rId13"/>
          <w:pgSz w:w="11906" w:h="16838" w:code="9"/>
          <w:pgMar w:top="816" w:right="1134" w:bottom="1134" w:left="1134" w:header="709" w:footer="153" w:gutter="0"/>
          <w:cols w:space="708"/>
          <w:docGrid w:linePitch="360"/>
        </w:sectPr>
      </w:pPr>
    </w:p>
    <w:p w14:paraId="74EDF65F" w14:textId="77777777" w:rsidR="00FD55CC" w:rsidRDefault="00FD55CC" w:rsidP="00EB370C">
      <w:pPr>
        <w:rPr>
          <w:bCs/>
        </w:rPr>
        <w:sectPr w:rsidR="00FD55CC" w:rsidSect="00FD55CC">
          <w:type w:val="continuous"/>
          <w:pgSz w:w="11906" w:h="16838" w:code="9"/>
          <w:pgMar w:top="816" w:right="1134" w:bottom="1134" w:left="1134" w:header="709" w:footer="153" w:gutter="0"/>
          <w:cols w:space="708"/>
          <w:docGrid w:linePitch="360"/>
        </w:sectPr>
      </w:pPr>
    </w:p>
    <w:tbl>
      <w:tblPr>
        <w:tblpPr w:leftFromText="180" w:rightFromText="180" w:vertAnchor="text" w:horzAnchor="margin" w:tblpY="-33"/>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33"/>
        <w:gridCol w:w="3049"/>
        <w:gridCol w:w="5046"/>
      </w:tblGrid>
      <w:tr w:rsidR="00FB6152" w14:paraId="00BD726C" w14:textId="77777777" w:rsidTr="00FB6152">
        <w:trPr>
          <w:trHeight w:val="274"/>
        </w:trPr>
        <w:tc>
          <w:tcPr>
            <w:tcW w:w="1543" w:type="dxa"/>
            <w:shd w:val="clear" w:color="auto" w:fill="D9D9D9"/>
          </w:tcPr>
          <w:p w14:paraId="7A7977E6" w14:textId="4721C0CB" w:rsidR="006D70D2" w:rsidRPr="00FB6152" w:rsidRDefault="006D70D2" w:rsidP="00FB6152">
            <w:pPr>
              <w:rPr>
                <w:bCs/>
                <w:color w:val="9CC2E5"/>
              </w:rPr>
            </w:pPr>
            <w:r w:rsidRPr="00FB6152">
              <w:rPr>
                <w:bCs/>
              </w:rPr>
              <w:lastRenderedPageBreak/>
              <w:t>Standard</w:t>
            </w:r>
          </w:p>
        </w:tc>
        <w:tc>
          <w:tcPr>
            <w:tcW w:w="3114" w:type="dxa"/>
            <w:shd w:val="clear" w:color="auto" w:fill="D9D9D9"/>
          </w:tcPr>
          <w:p w14:paraId="20F9AAE4" w14:textId="6811976A" w:rsidR="006D70D2" w:rsidRPr="00FB6152" w:rsidRDefault="006D70D2" w:rsidP="00FB6152">
            <w:pPr>
              <w:rPr>
                <w:bCs/>
              </w:rPr>
            </w:pPr>
            <w:r w:rsidRPr="00FB6152">
              <w:rPr>
                <w:bCs/>
              </w:rPr>
              <w:t>Occupational competency requirements</w:t>
            </w:r>
          </w:p>
        </w:tc>
        <w:tc>
          <w:tcPr>
            <w:tcW w:w="5197" w:type="dxa"/>
            <w:shd w:val="clear" w:color="auto" w:fill="D9D9D9"/>
          </w:tcPr>
          <w:p w14:paraId="2A3BBA32" w14:textId="77777777" w:rsidR="006D70D2" w:rsidRDefault="006D70D2" w:rsidP="00FB6152">
            <w:pPr>
              <w:rPr>
                <w:bCs/>
              </w:rPr>
            </w:pPr>
            <w:r w:rsidRPr="00FB6152">
              <w:rPr>
                <w:bCs/>
              </w:rPr>
              <w:t>Your response:</w:t>
            </w:r>
          </w:p>
          <w:p w14:paraId="251DBBE1" w14:textId="7D5BFE2C" w:rsidR="006D70D2" w:rsidRPr="00FB6152" w:rsidRDefault="006D70D2" w:rsidP="00FB6152">
            <w:pPr>
              <w:pStyle w:val="BPNtablebody"/>
              <w:rPr>
                <w:bCs/>
              </w:rPr>
            </w:pPr>
            <w:r w:rsidRPr="00FB6152">
              <w:rPr>
                <w:bCs/>
              </w:rPr>
              <w:t>(</w:t>
            </w:r>
            <w:r w:rsidRPr="00FB6152">
              <w:rPr>
                <w:bCs/>
                <w:i/>
                <w:iCs/>
              </w:rPr>
              <w:t>Consider including information such as: details of environments you have worked in, currency of your practical competence, dates and timeframes of experience, how you remain current, details of any professional registrations or qualifications you hold)</w:t>
            </w:r>
          </w:p>
        </w:tc>
      </w:tr>
      <w:tr w:rsidR="00FB6152" w14:paraId="12ACFBDE" w14:textId="77777777" w:rsidTr="00FB6152">
        <w:trPr>
          <w:trHeight w:val="2440"/>
        </w:trPr>
        <w:tc>
          <w:tcPr>
            <w:tcW w:w="1543" w:type="dxa"/>
            <w:vMerge w:val="restart"/>
            <w:shd w:val="clear" w:color="auto" w:fill="auto"/>
          </w:tcPr>
          <w:p w14:paraId="7EDB37E0" w14:textId="77777777" w:rsidR="006D70D2" w:rsidRPr="008E770B" w:rsidRDefault="006D70D2" w:rsidP="00FB6152">
            <w:pPr>
              <w:pStyle w:val="BPNtablebody"/>
            </w:pPr>
            <w:r>
              <w:t>School Business Professional L4</w:t>
            </w:r>
          </w:p>
        </w:tc>
        <w:tc>
          <w:tcPr>
            <w:tcW w:w="3114" w:type="dxa"/>
            <w:shd w:val="clear" w:color="auto" w:fill="auto"/>
          </w:tcPr>
          <w:p w14:paraId="3AFB97BE" w14:textId="31D4C654" w:rsidR="006D70D2" w:rsidRPr="008E770B" w:rsidRDefault="006D70D2" w:rsidP="00FB6152">
            <w:pPr>
              <w:pStyle w:val="BPNtablebody"/>
            </w:pPr>
            <w:r w:rsidRPr="003C1483">
              <w:t xml:space="preserve">Have 5-years’ experience of working in leadership and management in an educational organisational setting </w:t>
            </w:r>
            <w:r w:rsidR="00FD55CC">
              <w:t>…</w:t>
            </w:r>
          </w:p>
        </w:tc>
        <w:tc>
          <w:tcPr>
            <w:tcW w:w="5197" w:type="dxa"/>
            <w:shd w:val="clear" w:color="auto" w:fill="auto"/>
          </w:tcPr>
          <w:p w14:paraId="53417EDE" w14:textId="77777777" w:rsidR="006D70D2" w:rsidRPr="00FB6152" w:rsidRDefault="006D70D2" w:rsidP="00FB6152">
            <w:pPr>
              <w:pStyle w:val="BPNtablebody"/>
              <w:rPr>
                <w:rFonts w:cs="Calibri"/>
              </w:rPr>
            </w:pPr>
          </w:p>
        </w:tc>
      </w:tr>
      <w:tr w:rsidR="00FD55CC" w14:paraId="536E6BCE" w14:textId="77777777" w:rsidTr="00FB6152">
        <w:trPr>
          <w:trHeight w:val="2440"/>
        </w:trPr>
        <w:tc>
          <w:tcPr>
            <w:tcW w:w="1543" w:type="dxa"/>
            <w:vMerge/>
            <w:shd w:val="clear" w:color="auto" w:fill="auto"/>
          </w:tcPr>
          <w:p w14:paraId="7E327858" w14:textId="77777777" w:rsidR="00FD55CC" w:rsidRDefault="00FD55CC" w:rsidP="00FB6152">
            <w:pPr>
              <w:pStyle w:val="BPNtablebody"/>
            </w:pPr>
          </w:p>
        </w:tc>
        <w:tc>
          <w:tcPr>
            <w:tcW w:w="3114" w:type="dxa"/>
            <w:shd w:val="clear" w:color="auto" w:fill="auto"/>
          </w:tcPr>
          <w:p w14:paraId="713FC7DE" w14:textId="46C82E0C" w:rsidR="00FD55CC" w:rsidRPr="003C1483" w:rsidRDefault="00FD55CC" w:rsidP="00FB6152">
            <w:pPr>
              <w:pStyle w:val="BPNtablebody"/>
            </w:pPr>
            <w:r>
              <w:t xml:space="preserve">…. </w:t>
            </w:r>
            <w:r w:rsidRPr="003C1483">
              <w:t>and/or hold a leadership and management qualification, at a minimum of level 5 and/or a qualification in School Business Management, at a minimum of a Level 5 (or equivalent)</w:t>
            </w:r>
          </w:p>
        </w:tc>
        <w:tc>
          <w:tcPr>
            <w:tcW w:w="5197" w:type="dxa"/>
            <w:shd w:val="clear" w:color="auto" w:fill="auto"/>
          </w:tcPr>
          <w:p w14:paraId="36E39240" w14:textId="77777777" w:rsidR="00FD55CC" w:rsidRPr="00FB6152" w:rsidRDefault="00FD55CC" w:rsidP="00FB6152">
            <w:pPr>
              <w:pStyle w:val="BPNtablebody"/>
              <w:rPr>
                <w:rFonts w:cs="Calibri"/>
              </w:rPr>
            </w:pPr>
          </w:p>
        </w:tc>
      </w:tr>
      <w:tr w:rsidR="00FB6152" w14:paraId="65CED39C" w14:textId="77777777" w:rsidTr="00FB6152">
        <w:trPr>
          <w:trHeight w:val="2440"/>
        </w:trPr>
        <w:tc>
          <w:tcPr>
            <w:tcW w:w="1543" w:type="dxa"/>
            <w:vMerge/>
            <w:shd w:val="clear" w:color="auto" w:fill="auto"/>
          </w:tcPr>
          <w:p w14:paraId="114738BC" w14:textId="77777777" w:rsidR="006D70D2" w:rsidRPr="00FB6152" w:rsidRDefault="006D70D2" w:rsidP="00FB6152">
            <w:pPr>
              <w:pStyle w:val="BPNtablebody"/>
              <w:rPr>
                <w:rFonts w:cs="Calibri"/>
                <w:b/>
                <w:color w:val="7030A0"/>
                <w:sz w:val="24"/>
              </w:rPr>
            </w:pPr>
          </w:p>
        </w:tc>
        <w:tc>
          <w:tcPr>
            <w:tcW w:w="3114" w:type="dxa"/>
            <w:shd w:val="clear" w:color="auto" w:fill="auto"/>
          </w:tcPr>
          <w:p w14:paraId="745849E7" w14:textId="77777777" w:rsidR="006D70D2" w:rsidRDefault="006D70D2" w:rsidP="00FB6152">
            <w:pPr>
              <w:pStyle w:val="BPNtablebody"/>
            </w:pPr>
            <w:r w:rsidRPr="003C1483">
              <w:t>Hold a recognised assessment qualification or have been trained in assessment practice by their EPAO</w:t>
            </w:r>
            <w:r>
              <w:t>.</w:t>
            </w:r>
          </w:p>
          <w:p w14:paraId="7A18194D" w14:textId="461A284C" w:rsidR="006D70D2" w:rsidRPr="008E770B" w:rsidRDefault="006D70D2" w:rsidP="00FB6152">
            <w:pPr>
              <w:pStyle w:val="BPNtablebody"/>
            </w:pPr>
            <w:r>
              <w:t>(If you do not meet this competency on application, BPN will provide relevant training to s</w:t>
            </w:r>
            <w:r w:rsidR="00FD55CC">
              <w:t>elected</w:t>
            </w:r>
            <w:r>
              <w:t xml:space="preserve"> assessor candidates</w:t>
            </w:r>
          </w:p>
        </w:tc>
        <w:tc>
          <w:tcPr>
            <w:tcW w:w="5197" w:type="dxa"/>
            <w:shd w:val="clear" w:color="auto" w:fill="auto"/>
          </w:tcPr>
          <w:p w14:paraId="098F9EE1" w14:textId="77777777" w:rsidR="006D70D2" w:rsidRPr="00FB6152" w:rsidRDefault="006D70D2" w:rsidP="00FB6152">
            <w:pPr>
              <w:pStyle w:val="BPNtablebody"/>
              <w:rPr>
                <w:rFonts w:cs="Calibri"/>
              </w:rPr>
            </w:pPr>
          </w:p>
        </w:tc>
      </w:tr>
      <w:tr w:rsidR="00FB6152" w14:paraId="32D52969" w14:textId="77777777" w:rsidTr="00FB6152">
        <w:trPr>
          <w:trHeight w:val="2440"/>
        </w:trPr>
        <w:tc>
          <w:tcPr>
            <w:tcW w:w="1543" w:type="dxa"/>
            <w:vMerge/>
            <w:shd w:val="clear" w:color="auto" w:fill="auto"/>
          </w:tcPr>
          <w:p w14:paraId="4A98F883" w14:textId="77777777" w:rsidR="006D70D2" w:rsidRPr="00FB6152" w:rsidRDefault="006D70D2" w:rsidP="00FB6152">
            <w:pPr>
              <w:pStyle w:val="BPNtablebody"/>
              <w:rPr>
                <w:rFonts w:cs="Calibri"/>
                <w:b/>
                <w:color w:val="7030A0"/>
                <w:sz w:val="24"/>
              </w:rPr>
            </w:pPr>
          </w:p>
        </w:tc>
        <w:tc>
          <w:tcPr>
            <w:tcW w:w="3114" w:type="dxa"/>
            <w:shd w:val="clear" w:color="auto" w:fill="auto"/>
          </w:tcPr>
          <w:p w14:paraId="6982A88E" w14:textId="77777777" w:rsidR="006D70D2" w:rsidRPr="008E770B" w:rsidRDefault="006D70D2" w:rsidP="00FB6152">
            <w:pPr>
              <w:pStyle w:val="BPNtablebody"/>
            </w:pPr>
            <w:r w:rsidRPr="003C1483">
              <w:t>It is also desirable but not essential that independent assessors have membership of a professional institute or association appropriate to the level and subject area of the qualification.</w:t>
            </w:r>
          </w:p>
        </w:tc>
        <w:tc>
          <w:tcPr>
            <w:tcW w:w="5197" w:type="dxa"/>
            <w:shd w:val="clear" w:color="auto" w:fill="auto"/>
          </w:tcPr>
          <w:p w14:paraId="54895029" w14:textId="77777777" w:rsidR="006D70D2" w:rsidRPr="00FB6152" w:rsidRDefault="006D70D2" w:rsidP="00FB6152">
            <w:pPr>
              <w:pStyle w:val="BPNtablebody"/>
              <w:rPr>
                <w:rFonts w:cs="Calibri"/>
              </w:rPr>
            </w:pPr>
          </w:p>
        </w:tc>
      </w:tr>
    </w:tbl>
    <w:p w14:paraId="7AB7C093" w14:textId="77777777" w:rsidR="00FD55CC" w:rsidRDefault="00FD55CC" w:rsidP="006D70D2">
      <w:pPr>
        <w:pStyle w:val="BPNtablebody"/>
        <w:sectPr w:rsidR="00FD55CC" w:rsidSect="00FD55CC">
          <w:type w:val="continuous"/>
          <w:pgSz w:w="11906" w:h="16838" w:code="9"/>
          <w:pgMar w:top="816" w:right="1134" w:bottom="1134" w:left="1134" w:header="709" w:footer="153" w:gutter="0"/>
          <w:cols w:space="708"/>
          <w:docGrid w:linePitch="360"/>
        </w:sectPr>
      </w:pPr>
    </w:p>
    <w:p w14:paraId="6A6F33C3" w14:textId="77777777" w:rsidR="00FD55CC" w:rsidRDefault="00FD55CC" w:rsidP="006D70D2">
      <w:pPr>
        <w:pStyle w:val="BPNtablebody"/>
        <w:rPr>
          <w:bCs/>
        </w:rPr>
        <w:sectPr w:rsidR="00FD55CC" w:rsidSect="00FD55CC">
          <w:type w:val="continuous"/>
          <w:pgSz w:w="11906" w:h="16838" w:code="9"/>
          <w:pgMar w:top="816" w:right="1134" w:bottom="1134" w:left="1134" w:header="709" w:footer="153" w:gutter="0"/>
          <w:cols w:space="708"/>
          <w:docGrid w:linePitch="360"/>
        </w:sectPr>
      </w:pPr>
    </w:p>
    <w:tbl>
      <w:tblPr>
        <w:tblpPr w:leftFromText="180" w:rightFromText="180" w:vertAnchor="text" w:horzAnchor="margin" w:tblpY="-33"/>
        <w:tblW w:w="98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1543"/>
        <w:gridCol w:w="8346"/>
      </w:tblGrid>
      <w:tr w:rsidR="00FB6152" w14:paraId="5CCDA607" w14:textId="77777777" w:rsidTr="00FB6152">
        <w:trPr>
          <w:trHeight w:val="1522"/>
        </w:trPr>
        <w:tc>
          <w:tcPr>
            <w:tcW w:w="1543" w:type="dxa"/>
            <w:shd w:val="clear" w:color="auto" w:fill="D9D9D9"/>
          </w:tcPr>
          <w:p w14:paraId="6D70E196" w14:textId="164C6AA2" w:rsidR="00FD55CC" w:rsidRPr="00FB6152" w:rsidRDefault="00FD55CC" w:rsidP="00FB6152">
            <w:pPr>
              <w:spacing w:before="60"/>
              <w:jc w:val="left"/>
              <w:rPr>
                <w:bCs/>
              </w:rPr>
            </w:pPr>
            <w:r w:rsidRPr="00FB6152">
              <w:rPr>
                <w:bCs/>
              </w:rPr>
              <w:lastRenderedPageBreak/>
              <w:t>Notes: (Internal use only)</w:t>
            </w:r>
          </w:p>
        </w:tc>
        <w:tc>
          <w:tcPr>
            <w:tcW w:w="8346" w:type="dxa"/>
            <w:shd w:val="clear" w:color="auto" w:fill="FFFFFF"/>
          </w:tcPr>
          <w:p w14:paraId="1E8B306E" w14:textId="77777777" w:rsidR="00FD55CC" w:rsidRPr="00FB6152" w:rsidRDefault="00FD55CC" w:rsidP="00FB6152">
            <w:pPr>
              <w:pStyle w:val="BPNtablebody"/>
              <w:rPr>
                <w:rFonts w:cs="Calibri"/>
                <w:bCs/>
              </w:rPr>
            </w:pPr>
          </w:p>
        </w:tc>
      </w:tr>
    </w:tbl>
    <w:p w14:paraId="6CB28FFD" w14:textId="77777777" w:rsidR="00A452B6" w:rsidRDefault="00A452B6" w:rsidP="00A452B6">
      <w:pPr>
        <w:jc w:val="left"/>
      </w:pPr>
    </w:p>
    <w:p w14:paraId="25DA845E" w14:textId="77777777" w:rsidR="00A452B6" w:rsidRDefault="00A452B6" w:rsidP="00FD55CC">
      <w:pPr>
        <w:jc w:val="left"/>
      </w:pPr>
    </w:p>
    <w:p w14:paraId="194AD326" w14:textId="03F0887D" w:rsidR="00FD55CC" w:rsidRPr="007875F4" w:rsidRDefault="00FB7F56" w:rsidP="00FD55CC">
      <w:pPr>
        <w:jc w:val="left"/>
        <w:rPr>
          <w:i/>
          <w:iCs/>
        </w:rPr>
        <w:sectPr w:rsidR="00FD55CC" w:rsidRPr="007875F4" w:rsidSect="00FD55CC">
          <w:type w:val="continuous"/>
          <w:pgSz w:w="11906" w:h="16838" w:code="9"/>
          <w:pgMar w:top="816" w:right="1134" w:bottom="1134" w:left="1134" w:header="709" w:footer="153" w:gutter="0"/>
          <w:cols w:space="708"/>
          <w:docGrid w:linePitch="360"/>
        </w:sectPr>
      </w:pPr>
      <w:r w:rsidRPr="007875F4">
        <w:rPr>
          <w:i/>
          <w:iCs/>
        </w:rPr>
        <w:t>Please complete self-evaluation of Annex 1 below</w:t>
      </w:r>
      <w:r w:rsidR="007875F4">
        <w:rPr>
          <w:i/>
          <w:iCs/>
        </w:rPr>
        <w:t>.</w:t>
      </w:r>
    </w:p>
    <w:p w14:paraId="6693248E" w14:textId="77777777" w:rsidR="00AB05AE" w:rsidRPr="0044006C" w:rsidRDefault="00FF0E89" w:rsidP="00FD55CC">
      <w:pPr>
        <w:pStyle w:val="Heading1"/>
        <w:spacing w:before="100" w:beforeAutospacing="1" w:after="0"/>
        <w:jc w:val="left"/>
        <w:rPr>
          <w:rFonts w:ascii="Century Gothic" w:hAnsi="Century Gothic"/>
          <w:sz w:val="30"/>
          <w:szCs w:val="30"/>
        </w:rPr>
      </w:pPr>
      <w:r w:rsidRPr="0044006C">
        <w:rPr>
          <w:rFonts w:ascii="Century Gothic" w:hAnsi="Century Gothic"/>
          <w:sz w:val="30"/>
          <w:szCs w:val="30"/>
        </w:rPr>
        <w:lastRenderedPageBreak/>
        <w:t>Self-evaluation of Annex 1</w:t>
      </w:r>
    </w:p>
    <w:p w14:paraId="35EE4DED" w14:textId="5F134629" w:rsidR="00FF0E89" w:rsidRDefault="00FF0E89" w:rsidP="00FF0E89">
      <w:r>
        <w:t xml:space="preserve">With reference to the content of Annex 1 </w:t>
      </w:r>
      <w:r w:rsidR="00FB7F56">
        <w:t xml:space="preserve">(shown </w:t>
      </w:r>
      <w:r>
        <w:t>below</w:t>
      </w:r>
      <w:r w:rsidR="00FB7F56">
        <w:t>)</w:t>
      </w:r>
      <w:r>
        <w:t xml:space="preserve">, please </w:t>
      </w:r>
      <w:r w:rsidRPr="001108E2">
        <w:t>enter a</w:t>
      </w:r>
      <w:r>
        <w:t>n</w:t>
      </w:r>
      <w:r w:rsidRPr="001108E2">
        <w:t xml:space="preserve"> X </w:t>
      </w:r>
      <w:r>
        <w:t>in the right-hand columns</w:t>
      </w:r>
      <w:r w:rsidRPr="001108E2">
        <w:t xml:space="preserve"> to indicate </w:t>
      </w:r>
      <w:r w:rsidRPr="00A452B6">
        <w:rPr>
          <w:b/>
        </w:rPr>
        <w:t>your</w:t>
      </w:r>
      <w:r w:rsidRPr="001108E2">
        <w:t xml:space="preserve"> current knowledge and understanding of each of the </w:t>
      </w:r>
      <w:r>
        <w:t>following:</w:t>
      </w:r>
    </w:p>
    <w:p w14:paraId="12305DFC" w14:textId="77777777" w:rsidR="00A452B6" w:rsidRPr="00FF0E89" w:rsidRDefault="00A452B6" w:rsidP="00FF0E89"/>
    <w:tbl>
      <w:tblPr>
        <w:tblW w:w="9355" w:type="dxa"/>
        <w:tblInd w:w="-34" w:type="dxa"/>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Layout w:type="fixed"/>
        <w:tblLook w:val="01E0" w:firstRow="1" w:lastRow="1" w:firstColumn="1" w:lastColumn="1" w:noHBand="0" w:noVBand="0"/>
      </w:tblPr>
      <w:tblGrid>
        <w:gridCol w:w="5386"/>
        <w:gridCol w:w="992"/>
        <w:gridCol w:w="993"/>
        <w:gridCol w:w="992"/>
        <w:gridCol w:w="992"/>
      </w:tblGrid>
      <w:tr w:rsidR="001203BB" w14:paraId="557D1433" w14:textId="77777777" w:rsidTr="001203BB">
        <w:trPr>
          <w:cantSplit/>
          <w:tblHeader/>
        </w:trPr>
        <w:tc>
          <w:tcPr>
            <w:tcW w:w="5386" w:type="dxa"/>
            <w:shd w:val="clear" w:color="auto" w:fill="B7B7B7"/>
          </w:tcPr>
          <w:p w14:paraId="64923AB3" w14:textId="77777777" w:rsidR="001203BB" w:rsidRPr="00A452B6" w:rsidRDefault="00FF0E89" w:rsidP="00A535B2">
            <w:pPr>
              <w:pStyle w:val="BPNtableheader"/>
              <w:rPr>
                <w:b/>
              </w:rPr>
            </w:pPr>
            <w:r w:rsidRPr="00A452B6">
              <w:rPr>
                <w:b/>
              </w:rPr>
              <w:t>Knowledge</w:t>
            </w:r>
          </w:p>
        </w:tc>
        <w:tc>
          <w:tcPr>
            <w:tcW w:w="992" w:type="dxa"/>
            <w:shd w:val="clear" w:color="auto" w:fill="B7B7B7"/>
          </w:tcPr>
          <w:p w14:paraId="58E2E108" w14:textId="77777777" w:rsidR="001203BB" w:rsidRPr="00A452B6" w:rsidRDefault="001203BB" w:rsidP="00A535B2">
            <w:pPr>
              <w:pStyle w:val="BPNtableheader"/>
              <w:rPr>
                <w:b/>
                <w:sz w:val="18"/>
                <w:szCs w:val="18"/>
              </w:rPr>
            </w:pPr>
            <w:r w:rsidRPr="00A452B6">
              <w:rPr>
                <w:b/>
                <w:sz w:val="18"/>
                <w:szCs w:val="18"/>
              </w:rPr>
              <w:t>Limited</w:t>
            </w:r>
          </w:p>
        </w:tc>
        <w:tc>
          <w:tcPr>
            <w:tcW w:w="993" w:type="dxa"/>
            <w:shd w:val="clear" w:color="auto" w:fill="B7B7B7"/>
          </w:tcPr>
          <w:p w14:paraId="12DFE15A" w14:textId="77777777" w:rsidR="001203BB" w:rsidRPr="00A452B6" w:rsidRDefault="001203BB" w:rsidP="00A535B2">
            <w:pPr>
              <w:pStyle w:val="BPNtableheader"/>
              <w:rPr>
                <w:b/>
                <w:sz w:val="18"/>
                <w:szCs w:val="18"/>
              </w:rPr>
            </w:pPr>
            <w:r w:rsidRPr="00A452B6">
              <w:rPr>
                <w:b/>
                <w:sz w:val="18"/>
                <w:szCs w:val="18"/>
              </w:rPr>
              <w:t>Fair</w:t>
            </w:r>
          </w:p>
        </w:tc>
        <w:tc>
          <w:tcPr>
            <w:tcW w:w="992" w:type="dxa"/>
            <w:shd w:val="clear" w:color="auto" w:fill="B7B7B7"/>
          </w:tcPr>
          <w:p w14:paraId="31D4ED52" w14:textId="77777777" w:rsidR="001203BB" w:rsidRPr="00A452B6" w:rsidRDefault="001203BB" w:rsidP="00A535B2">
            <w:pPr>
              <w:pStyle w:val="BPNtableheader"/>
              <w:rPr>
                <w:b/>
                <w:sz w:val="18"/>
                <w:szCs w:val="18"/>
              </w:rPr>
            </w:pPr>
            <w:r w:rsidRPr="00A452B6">
              <w:rPr>
                <w:b/>
                <w:sz w:val="18"/>
                <w:szCs w:val="18"/>
              </w:rPr>
              <w:t>Good</w:t>
            </w:r>
          </w:p>
        </w:tc>
        <w:tc>
          <w:tcPr>
            <w:tcW w:w="992" w:type="dxa"/>
            <w:shd w:val="clear" w:color="auto" w:fill="B7B7B7"/>
          </w:tcPr>
          <w:p w14:paraId="50A14266" w14:textId="77777777" w:rsidR="001203BB" w:rsidRPr="00A452B6" w:rsidRDefault="001203BB" w:rsidP="00A535B2">
            <w:pPr>
              <w:pStyle w:val="BPNtableheader"/>
              <w:rPr>
                <w:b/>
                <w:sz w:val="18"/>
                <w:szCs w:val="18"/>
              </w:rPr>
            </w:pPr>
            <w:r w:rsidRPr="00A452B6">
              <w:rPr>
                <w:b/>
                <w:sz w:val="18"/>
                <w:szCs w:val="18"/>
              </w:rPr>
              <w:t>Excellent</w:t>
            </w:r>
          </w:p>
        </w:tc>
      </w:tr>
      <w:tr w:rsidR="00FF0E89" w14:paraId="6616D8B1" w14:textId="77777777" w:rsidTr="001203BB">
        <w:trPr>
          <w:cantSplit/>
          <w:trHeight w:val="373"/>
        </w:trPr>
        <w:tc>
          <w:tcPr>
            <w:tcW w:w="5386" w:type="dxa"/>
          </w:tcPr>
          <w:p w14:paraId="3A7CDDDE" w14:textId="77777777" w:rsidR="00FF0E89" w:rsidRDefault="00FF0E89" w:rsidP="00FF0E89">
            <w:pPr>
              <w:pStyle w:val="BPNtablebody"/>
            </w:pPr>
            <w:r w:rsidRPr="00ED2616">
              <w:rPr>
                <w:rFonts w:cs="Calibri"/>
                <w:szCs w:val="22"/>
              </w:rPr>
              <w:t xml:space="preserve">Finance </w:t>
            </w:r>
          </w:p>
        </w:tc>
        <w:tc>
          <w:tcPr>
            <w:tcW w:w="992" w:type="dxa"/>
          </w:tcPr>
          <w:p w14:paraId="6358525B" w14:textId="77777777" w:rsidR="00FF0E89" w:rsidRDefault="00FF0E89" w:rsidP="00FF0E89">
            <w:pPr>
              <w:pStyle w:val="BPNtablebody"/>
            </w:pPr>
          </w:p>
        </w:tc>
        <w:tc>
          <w:tcPr>
            <w:tcW w:w="993" w:type="dxa"/>
          </w:tcPr>
          <w:p w14:paraId="4E5C5C8D" w14:textId="77777777" w:rsidR="00FF0E89" w:rsidRDefault="00FF0E89" w:rsidP="00FF0E89">
            <w:pPr>
              <w:pStyle w:val="BPNtablebody"/>
            </w:pPr>
          </w:p>
        </w:tc>
        <w:tc>
          <w:tcPr>
            <w:tcW w:w="992" w:type="dxa"/>
          </w:tcPr>
          <w:p w14:paraId="485771DA" w14:textId="77777777" w:rsidR="00FF0E89" w:rsidRDefault="00FF0E89" w:rsidP="00FF0E89">
            <w:pPr>
              <w:pStyle w:val="BPNtablebody"/>
            </w:pPr>
          </w:p>
        </w:tc>
        <w:tc>
          <w:tcPr>
            <w:tcW w:w="992" w:type="dxa"/>
          </w:tcPr>
          <w:p w14:paraId="5DB78FDC" w14:textId="77777777" w:rsidR="00FF0E89" w:rsidRDefault="00FF0E89" w:rsidP="00FF0E89">
            <w:pPr>
              <w:pStyle w:val="BPNtablebody"/>
            </w:pPr>
          </w:p>
        </w:tc>
      </w:tr>
      <w:tr w:rsidR="00FF0E89" w14:paraId="01562C29" w14:textId="77777777" w:rsidTr="001203BB">
        <w:trPr>
          <w:cantSplit/>
          <w:trHeight w:val="423"/>
        </w:trPr>
        <w:tc>
          <w:tcPr>
            <w:tcW w:w="5386" w:type="dxa"/>
          </w:tcPr>
          <w:p w14:paraId="1583DC1D" w14:textId="77777777" w:rsidR="00FF0E89" w:rsidRPr="00D32851" w:rsidRDefault="00FF0E89" w:rsidP="00FF0E89">
            <w:pPr>
              <w:pStyle w:val="BPNtablebody"/>
            </w:pPr>
            <w:r w:rsidRPr="00ED2616">
              <w:rPr>
                <w:rFonts w:cs="Calibri"/>
                <w:szCs w:val="22"/>
              </w:rPr>
              <w:t xml:space="preserve">Procurement </w:t>
            </w:r>
          </w:p>
        </w:tc>
        <w:tc>
          <w:tcPr>
            <w:tcW w:w="992" w:type="dxa"/>
          </w:tcPr>
          <w:p w14:paraId="7EA007E4" w14:textId="77777777" w:rsidR="00FF0E89" w:rsidRDefault="00FF0E89" w:rsidP="00FF0E89">
            <w:pPr>
              <w:pStyle w:val="BPNtablebody"/>
            </w:pPr>
          </w:p>
        </w:tc>
        <w:tc>
          <w:tcPr>
            <w:tcW w:w="993" w:type="dxa"/>
          </w:tcPr>
          <w:p w14:paraId="5C5BC158" w14:textId="77777777" w:rsidR="00FF0E89" w:rsidRDefault="00FF0E89" w:rsidP="00FF0E89">
            <w:pPr>
              <w:pStyle w:val="BPNtablebody"/>
            </w:pPr>
          </w:p>
        </w:tc>
        <w:tc>
          <w:tcPr>
            <w:tcW w:w="992" w:type="dxa"/>
          </w:tcPr>
          <w:p w14:paraId="47152F33" w14:textId="77777777" w:rsidR="00FF0E89" w:rsidRDefault="00FF0E89" w:rsidP="00FF0E89">
            <w:pPr>
              <w:pStyle w:val="BPNtablebody"/>
            </w:pPr>
          </w:p>
        </w:tc>
        <w:tc>
          <w:tcPr>
            <w:tcW w:w="992" w:type="dxa"/>
          </w:tcPr>
          <w:p w14:paraId="12C09664" w14:textId="77777777" w:rsidR="00FF0E89" w:rsidRDefault="00FF0E89" w:rsidP="00FF0E89">
            <w:pPr>
              <w:pStyle w:val="BPNtablebody"/>
            </w:pPr>
          </w:p>
        </w:tc>
      </w:tr>
      <w:tr w:rsidR="00FF0E89" w14:paraId="2B4E4CFD" w14:textId="77777777" w:rsidTr="001203BB">
        <w:trPr>
          <w:cantSplit/>
          <w:trHeight w:val="316"/>
        </w:trPr>
        <w:tc>
          <w:tcPr>
            <w:tcW w:w="5386" w:type="dxa"/>
          </w:tcPr>
          <w:p w14:paraId="61E8CC5A" w14:textId="77777777" w:rsidR="00FF0E89" w:rsidRPr="00771497" w:rsidRDefault="00FF0E89" w:rsidP="00FF0E89">
            <w:pPr>
              <w:pStyle w:val="BPNtablebody"/>
              <w:rPr>
                <w:b/>
              </w:rPr>
            </w:pPr>
            <w:r w:rsidRPr="00ED2616">
              <w:rPr>
                <w:rFonts w:cs="Calibri"/>
                <w:szCs w:val="22"/>
              </w:rPr>
              <w:t xml:space="preserve">Human Resources </w:t>
            </w:r>
          </w:p>
        </w:tc>
        <w:tc>
          <w:tcPr>
            <w:tcW w:w="992" w:type="dxa"/>
          </w:tcPr>
          <w:p w14:paraId="3AF48006" w14:textId="77777777" w:rsidR="00FF0E89" w:rsidRDefault="00FF0E89" w:rsidP="00FF0E89">
            <w:pPr>
              <w:pStyle w:val="BPNtablebody"/>
            </w:pPr>
          </w:p>
        </w:tc>
        <w:tc>
          <w:tcPr>
            <w:tcW w:w="993" w:type="dxa"/>
          </w:tcPr>
          <w:p w14:paraId="50E037A0" w14:textId="77777777" w:rsidR="00FF0E89" w:rsidRDefault="00FF0E89" w:rsidP="00FF0E89">
            <w:pPr>
              <w:pStyle w:val="BPNtablebody"/>
            </w:pPr>
          </w:p>
        </w:tc>
        <w:tc>
          <w:tcPr>
            <w:tcW w:w="992" w:type="dxa"/>
          </w:tcPr>
          <w:p w14:paraId="44C2DFF9" w14:textId="77777777" w:rsidR="00FF0E89" w:rsidRDefault="00FF0E89" w:rsidP="00FF0E89">
            <w:pPr>
              <w:pStyle w:val="BPNtablebody"/>
            </w:pPr>
          </w:p>
        </w:tc>
        <w:tc>
          <w:tcPr>
            <w:tcW w:w="992" w:type="dxa"/>
          </w:tcPr>
          <w:p w14:paraId="03172E0D" w14:textId="77777777" w:rsidR="00FF0E89" w:rsidRDefault="00FF0E89" w:rsidP="00FF0E89">
            <w:pPr>
              <w:pStyle w:val="BPNtablebody"/>
            </w:pPr>
          </w:p>
        </w:tc>
      </w:tr>
      <w:tr w:rsidR="00FF0E89" w14:paraId="789CB05A" w14:textId="77777777" w:rsidTr="001203BB">
        <w:trPr>
          <w:cantSplit/>
          <w:trHeight w:val="435"/>
        </w:trPr>
        <w:tc>
          <w:tcPr>
            <w:tcW w:w="5386" w:type="dxa"/>
          </w:tcPr>
          <w:p w14:paraId="75EC5C74" w14:textId="77777777" w:rsidR="00FF0E89" w:rsidRPr="00880DB6" w:rsidRDefault="00FF0E89" w:rsidP="00FF0E89">
            <w:pPr>
              <w:pStyle w:val="BPNtablebody"/>
            </w:pPr>
            <w:r w:rsidRPr="00ED2616">
              <w:rPr>
                <w:rFonts w:cs="Calibri"/>
                <w:szCs w:val="22"/>
              </w:rPr>
              <w:t xml:space="preserve">Managing Support Services </w:t>
            </w:r>
          </w:p>
        </w:tc>
        <w:tc>
          <w:tcPr>
            <w:tcW w:w="992" w:type="dxa"/>
          </w:tcPr>
          <w:p w14:paraId="07A3B71E" w14:textId="77777777" w:rsidR="00FF0E89" w:rsidRDefault="00FF0E89" w:rsidP="00FF0E89">
            <w:pPr>
              <w:pStyle w:val="BPNtablebody"/>
            </w:pPr>
          </w:p>
        </w:tc>
        <w:tc>
          <w:tcPr>
            <w:tcW w:w="993" w:type="dxa"/>
          </w:tcPr>
          <w:p w14:paraId="2EB4BFCF" w14:textId="77777777" w:rsidR="00FF0E89" w:rsidRDefault="00FF0E89" w:rsidP="00FF0E89">
            <w:pPr>
              <w:pStyle w:val="BPNtablebody"/>
            </w:pPr>
          </w:p>
        </w:tc>
        <w:tc>
          <w:tcPr>
            <w:tcW w:w="992" w:type="dxa"/>
          </w:tcPr>
          <w:p w14:paraId="672F2DBB" w14:textId="77777777" w:rsidR="00FF0E89" w:rsidRDefault="00FF0E89" w:rsidP="00FF0E89">
            <w:pPr>
              <w:pStyle w:val="BPNtablebody"/>
            </w:pPr>
          </w:p>
        </w:tc>
        <w:tc>
          <w:tcPr>
            <w:tcW w:w="992" w:type="dxa"/>
          </w:tcPr>
          <w:p w14:paraId="17FA4E5B" w14:textId="77777777" w:rsidR="00FF0E89" w:rsidRDefault="00FF0E89" w:rsidP="00FF0E89">
            <w:pPr>
              <w:pStyle w:val="BPNtablebody"/>
            </w:pPr>
          </w:p>
        </w:tc>
      </w:tr>
      <w:tr w:rsidR="00FF0E89" w14:paraId="1A3F50E0" w14:textId="77777777" w:rsidTr="001203BB">
        <w:trPr>
          <w:cantSplit/>
          <w:trHeight w:val="399"/>
        </w:trPr>
        <w:tc>
          <w:tcPr>
            <w:tcW w:w="5386" w:type="dxa"/>
          </w:tcPr>
          <w:p w14:paraId="2E266ED9" w14:textId="77777777" w:rsidR="00FF0E89" w:rsidRPr="00880DB6" w:rsidRDefault="00FF0E89" w:rsidP="00FF0E89">
            <w:pPr>
              <w:pStyle w:val="BPNtablebody"/>
            </w:pPr>
            <w:r w:rsidRPr="00ED2616">
              <w:rPr>
                <w:rFonts w:cs="Calibri"/>
                <w:szCs w:val="22"/>
              </w:rPr>
              <w:t xml:space="preserve">Governance and Risk </w:t>
            </w:r>
          </w:p>
        </w:tc>
        <w:tc>
          <w:tcPr>
            <w:tcW w:w="992" w:type="dxa"/>
          </w:tcPr>
          <w:p w14:paraId="137741F1" w14:textId="77777777" w:rsidR="00FF0E89" w:rsidRDefault="00FF0E89" w:rsidP="00FF0E89">
            <w:pPr>
              <w:pStyle w:val="BPNtablebody"/>
            </w:pPr>
          </w:p>
        </w:tc>
        <w:tc>
          <w:tcPr>
            <w:tcW w:w="993" w:type="dxa"/>
          </w:tcPr>
          <w:p w14:paraId="61297C7C" w14:textId="77777777" w:rsidR="00FF0E89" w:rsidRDefault="00FF0E89" w:rsidP="00FF0E89">
            <w:pPr>
              <w:pStyle w:val="BPNtablebody"/>
            </w:pPr>
          </w:p>
        </w:tc>
        <w:tc>
          <w:tcPr>
            <w:tcW w:w="992" w:type="dxa"/>
          </w:tcPr>
          <w:p w14:paraId="0F999B42" w14:textId="77777777" w:rsidR="00FF0E89" w:rsidRDefault="00FF0E89" w:rsidP="00FF0E89">
            <w:pPr>
              <w:pStyle w:val="BPNtablebody"/>
            </w:pPr>
          </w:p>
        </w:tc>
        <w:tc>
          <w:tcPr>
            <w:tcW w:w="992" w:type="dxa"/>
          </w:tcPr>
          <w:p w14:paraId="12E5F045" w14:textId="77777777" w:rsidR="00FF0E89" w:rsidRDefault="00FF0E89" w:rsidP="00FF0E89">
            <w:pPr>
              <w:pStyle w:val="BPNtablebody"/>
            </w:pPr>
          </w:p>
        </w:tc>
      </w:tr>
      <w:tr w:rsidR="007E1DB9" w14:paraId="0FEF5DDA" w14:textId="77777777" w:rsidTr="00A452B6">
        <w:trPr>
          <w:cantSplit/>
          <w:trHeight w:val="441"/>
        </w:trPr>
        <w:tc>
          <w:tcPr>
            <w:tcW w:w="5386" w:type="dxa"/>
          </w:tcPr>
          <w:p w14:paraId="0A0E51A2" w14:textId="77777777" w:rsidR="007E1DB9" w:rsidRDefault="007E1DB9" w:rsidP="007E1DB9">
            <w:pPr>
              <w:pStyle w:val="BPNtablebody"/>
            </w:pPr>
            <w:r w:rsidRPr="00ED2616">
              <w:rPr>
                <w:rFonts w:cs="Calibri"/>
                <w:szCs w:val="22"/>
              </w:rPr>
              <w:t xml:space="preserve">Marketing </w:t>
            </w:r>
          </w:p>
        </w:tc>
        <w:tc>
          <w:tcPr>
            <w:tcW w:w="992" w:type="dxa"/>
          </w:tcPr>
          <w:p w14:paraId="625E666D" w14:textId="77777777" w:rsidR="007E1DB9" w:rsidRDefault="007E1DB9" w:rsidP="007E1DB9">
            <w:pPr>
              <w:pStyle w:val="BPNtablebody"/>
            </w:pPr>
          </w:p>
        </w:tc>
        <w:tc>
          <w:tcPr>
            <w:tcW w:w="993" w:type="dxa"/>
          </w:tcPr>
          <w:p w14:paraId="5A8C54BD" w14:textId="77777777" w:rsidR="007E1DB9" w:rsidRDefault="007E1DB9" w:rsidP="007E1DB9">
            <w:pPr>
              <w:pStyle w:val="BPNtablebody"/>
            </w:pPr>
          </w:p>
        </w:tc>
        <w:tc>
          <w:tcPr>
            <w:tcW w:w="992" w:type="dxa"/>
          </w:tcPr>
          <w:p w14:paraId="549BBB23" w14:textId="77777777" w:rsidR="007E1DB9" w:rsidRDefault="007E1DB9" w:rsidP="007E1DB9">
            <w:pPr>
              <w:pStyle w:val="BPNtablebody"/>
            </w:pPr>
          </w:p>
        </w:tc>
        <w:tc>
          <w:tcPr>
            <w:tcW w:w="992" w:type="dxa"/>
          </w:tcPr>
          <w:p w14:paraId="75671DCE" w14:textId="77777777" w:rsidR="007E1DB9" w:rsidRDefault="007E1DB9" w:rsidP="007E1DB9">
            <w:pPr>
              <w:pStyle w:val="BPNtablebody"/>
            </w:pPr>
          </w:p>
        </w:tc>
      </w:tr>
      <w:tr w:rsidR="007E1DB9" w14:paraId="2FE71F87" w14:textId="77777777" w:rsidTr="00A452B6">
        <w:trPr>
          <w:cantSplit/>
          <w:trHeight w:val="419"/>
        </w:trPr>
        <w:tc>
          <w:tcPr>
            <w:tcW w:w="5386" w:type="dxa"/>
          </w:tcPr>
          <w:p w14:paraId="6CF02AF7" w14:textId="77777777" w:rsidR="007E1DB9" w:rsidRPr="00AB05AE" w:rsidRDefault="007E1DB9" w:rsidP="007E1DB9">
            <w:pPr>
              <w:pStyle w:val="BPNtablebody"/>
            </w:pPr>
            <w:r w:rsidRPr="00ED2616">
              <w:rPr>
                <w:rFonts w:cs="Calibri"/>
                <w:szCs w:val="22"/>
              </w:rPr>
              <w:t xml:space="preserve">Infrastructure </w:t>
            </w:r>
          </w:p>
        </w:tc>
        <w:tc>
          <w:tcPr>
            <w:tcW w:w="992" w:type="dxa"/>
          </w:tcPr>
          <w:p w14:paraId="54AD3D77" w14:textId="77777777" w:rsidR="007E1DB9" w:rsidRDefault="007E1DB9" w:rsidP="007E1DB9">
            <w:pPr>
              <w:pStyle w:val="BPNtablebody"/>
            </w:pPr>
          </w:p>
        </w:tc>
        <w:tc>
          <w:tcPr>
            <w:tcW w:w="993" w:type="dxa"/>
          </w:tcPr>
          <w:p w14:paraId="151BE243" w14:textId="77777777" w:rsidR="007E1DB9" w:rsidRDefault="007E1DB9" w:rsidP="007E1DB9">
            <w:pPr>
              <w:pStyle w:val="BPNtablebody"/>
            </w:pPr>
          </w:p>
        </w:tc>
        <w:tc>
          <w:tcPr>
            <w:tcW w:w="992" w:type="dxa"/>
          </w:tcPr>
          <w:p w14:paraId="69C3EA9F" w14:textId="77777777" w:rsidR="007E1DB9" w:rsidRDefault="007E1DB9" w:rsidP="007E1DB9">
            <w:pPr>
              <w:pStyle w:val="BPNtablebody"/>
            </w:pPr>
          </w:p>
        </w:tc>
        <w:tc>
          <w:tcPr>
            <w:tcW w:w="992" w:type="dxa"/>
          </w:tcPr>
          <w:p w14:paraId="1C0CBE24" w14:textId="77777777" w:rsidR="007E1DB9" w:rsidRDefault="007E1DB9" w:rsidP="007E1DB9">
            <w:pPr>
              <w:pStyle w:val="BPNtablebody"/>
            </w:pPr>
          </w:p>
        </w:tc>
      </w:tr>
      <w:tr w:rsidR="007E1DB9" w14:paraId="6A0C2632" w14:textId="77777777" w:rsidTr="001203BB">
        <w:trPr>
          <w:cantSplit/>
          <w:trHeight w:val="399"/>
        </w:trPr>
        <w:tc>
          <w:tcPr>
            <w:tcW w:w="5386" w:type="dxa"/>
          </w:tcPr>
          <w:p w14:paraId="50B15D93" w14:textId="77777777" w:rsidR="007E1DB9" w:rsidRPr="00AE6B98" w:rsidRDefault="007E1DB9" w:rsidP="007E1DB9">
            <w:pPr>
              <w:pStyle w:val="BPNtablebody"/>
            </w:pPr>
            <w:r w:rsidRPr="00ED2616">
              <w:rPr>
                <w:rFonts w:cs="Calibri"/>
                <w:szCs w:val="22"/>
              </w:rPr>
              <w:t xml:space="preserve">Ethical Standards </w:t>
            </w:r>
          </w:p>
        </w:tc>
        <w:tc>
          <w:tcPr>
            <w:tcW w:w="992" w:type="dxa"/>
          </w:tcPr>
          <w:p w14:paraId="3F5FC0F2" w14:textId="77777777" w:rsidR="007E1DB9" w:rsidRDefault="007E1DB9" w:rsidP="007E1DB9">
            <w:pPr>
              <w:pStyle w:val="BPNtablebody"/>
            </w:pPr>
          </w:p>
        </w:tc>
        <w:tc>
          <w:tcPr>
            <w:tcW w:w="993" w:type="dxa"/>
          </w:tcPr>
          <w:p w14:paraId="5779D702" w14:textId="77777777" w:rsidR="007E1DB9" w:rsidRDefault="007E1DB9" w:rsidP="007E1DB9">
            <w:pPr>
              <w:pStyle w:val="BPNtablebody"/>
            </w:pPr>
          </w:p>
        </w:tc>
        <w:tc>
          <w:tcPr>
            <w:tcW w:w="992" w:type="dxa"/>
          </w:tcPr>
          <w:p w14:paraId="783A526C" w14:textId="77777777" w:rsidR="007E1DB9" w:rsidRDefault="007E1DB9" w:rsidP="007E1DB9">
            <w:pPr>
              <w:pStyle w:val="BPNtablebody"/>
            </w:pPr>
          </w:p>
        </w:tc>
        <w:tc>
          <w:tcPr>
            <w:tcW w:w="992" w:type="dxa"/>
          </w:tcPr>
          <w:p w14:paraId="7078EC3F" w14:textId="77777777" w:rsidR="007E1DB9" w:rsidRDefault="007E1DB9" w:rsidP="007E1DB9">
            <w:pPr>
              <w:pStyle w:val="BPNtablebody"/>
            </w:pPr>
          </w:p>
        </w:tc>
      </w:tr>
      <w:tr w:rsidR="00A452B6" w14:paraId="4022F498" w14:textId="77777777" w:rsidTr="00ED2616">
        <w:trPr>
          <w:cantSplit/>
          <w:trHeight w:val="492"/>
        </w:trPr>
        <w:tc>
          <w:tcPr>
            <w:tcW w:w="5386" w:type="dxa"/>
            <w:shd w:val="clear" w:color="auto" w:fill="B7B7B7"/>
          </w:tcPr>
          <w:p w14:paraId="6F2228FF" w14:textId="77777777" w:rsidR="00A452B6" w:rsidRPr="00AE6B98" w:rsidRDefault="00A452B6" w:rsidP="00A452B6">
            <w:pPr>
              <w:pStyle w:val="BPNtablebody"/>
            </w:pPr>
            <w:bookmarkStart w:id="7" w:name="_Hlk27562131"/>
            <w:r>
              <w:rPr>
                <w:b/>
              </w:rPr>
              <w:t>Skills</w:t>
            </w:r>
          </w:p>
        </w:tc>
        <w:tc>
          <w:tcPr>
            <w:tcW w:w="992" w:type="dxa"/>
            <w:shd w:val="clear" w:color="auto" w:fill="B7B7B7"/>
          </w:tcPr>
          <w:p w14:paraId="0C8BC0DE" w14:textId="77777777" w:rsidR="00A452B6" w:rsidRDefault="00A452B6" w:rsidP="00A452B6">
            <w:pPr>
              <w:pStyle w:val="BPNtablebody"/>
            </w:pPr>
            <w:r w:rsidRPr="00A452B6">
              <w:rPr>
                <w:b/>
                <w:sz w:val="18"/>
                <w:szCs w:val="18"/>
              </w:rPr>
              <w:t>Limited</w:t>
            </w:r>
          </w:p>
        </w:tc>
        <w:tc>
          <w:tcPr>
            <w:tcW w:w="993" w:type="dxa"/>
            <w:shd w:val="clear" w:color="auto" w:fill="B7B7B7"/>
          </w:tcPr>
          <w:p w14:paraId="6872AC6F" w14:textId="77777777" w:rsidR="00A452B6" w:rsidRDefault="00A452B6" w:rsidP="00A452B6">
            <w:pPr>
              <w:pStyle w:val="BPNtablebody"/>
            </w:pPr>
            <w:r w:rsidRPr="00A452B6">
              <w:rPr>
                <w:b/>
                <w:sz w:val="18"/>
                <w:szCs w:val="18"/>
              </w:rPr>
              <w:t>Fair</w:t>
            </w:r>
          </w:p>
        </w:tc>
        <w:tc>
          <w:tcPr>
            <w:tcW w:w="992" w:type="dxa"/>
            <w:shd w:val="clear" w:color="auto" w:fill="B7B7B7"/>
          </w:tcPr>
          <w:p w14:paraId="124E097A" w14:textId="77777777" w:rsidR="00A452B6" w:rsidRDefault="00A452B6" w:rsidP="00A452B6">
            <w:pPr>
              <w:pStyle w:val="BPNtablebody"/>
            </w:pPr>
            <w:r w:rsidRPr="00A452B6">
              <w:rPr>
                <w:b/>
                <w:sz w:val="18"/>
                <w:szCs w:val="18"/>
              </w:rPr>
              <w:t>Good</w:t>
            </w:r>
          </w:p>
        </w:tc>
        <w:tc>
          <w:tcPr>
            <w:tcW w:w="992" w:type="dxa"/>
            <w:shd w:val="clear" w:color="auto" w:fill="B7B7B7"/>
          </w:tcPr>
          <w:p w14:paraId="56CE370E" w14:textId="77777777" w:rsidR="00A452B6" w:rsidRDefault="00A452B6" w:rsidP="00A452B6">
            <w:pPr>
              <w:pStyle w:val="BPNtablebody"/>
            </w:pPr>
            <w:r w:rsidRPr="00A452B6">
              <w:rPr>
                <w:b/>
                <w:sz w:val="18"/>
                <w:szCs w:val="18"/>
              </w:rPr>
              <w:t>Excellent</w:t>
            </w:r>
          </w:p>
        </w:tc>
      </w:tr>
      <w:tr w:rsidR="00A452B6" w14:paraId="012B0C08" w14:textId="77777777" w:rsidTr="00A452B6">
        <w:trPr>
          <w:cantSplit/>
          <w:trHeight w:val="425"/>
        </w:trPr>
        <w:tc>
          <w:tcPr>
            <w:tcW w:w="5386" w:type="dxa"/>
          </w:tcPr>
          <w:p w14:paraId="180E4343" w14:textId="77777777" w:rsidR="00A452B6" w:rsidRPr="00AE6B98" w:rsidRDefault="00A452B6" w:rsidP="00A452B6">
            <w:pPr>
              <w:pStyle w:val="BPNtablebody"/>
            </w:pPr>
            <w:r w:rsidRPr="00ED2616">
              <w:rPr>
                <w:rFonts w:cs="Calibri"/>
                <w:szCs w:val="22"/>
              </w:rPr>
              <w:t xml:space="preserve">Financial and Operational Management </w:t>
            </w:r>
          </w:p>
        </w:tc>
        <w:tc>
          <w:tcPr>
            <w:tcW w:w="992" w:type="dxa"/>
          </w:tcPr>
          <w:p w14:paraId="76372539" w14:textId="77777777" w:rsidR="00A452B6" w:rsidRDefault="00A452B6" w:rsidP="00A452B6">
            <w:pPr>
              <w:pStyle w:val="BPNtablebody"/>
            </w:pPr>
          </w:p>
        </w:tc>
        <w:tc>
          <w:tcPr>
            <w:tcW w:w="993" w:type="dxa"/>
          </w:tcPr>
          <w:p w14:paraId="3C9BEB47" w14:textId="77777777" w:rsidR="00A452B6" w:rsidRDefault="00A452B6" w:rsidP="00A452B6">
            <w:pPr>
              <w:pStyle w:val="BPNtablebody"/>
            </w:pPr>
          </w:p>
        </w:tc>
        <w:tc>
          <w:tcPr>
            <w:tcW w:w="992" w:type="dxa"/>
          </w:tcPr>
          <w:p w14:paraId="449DC81A" w14:textId="77777777" w:rsidR="00A452B6" w:rsidRDefault="00A452B6" w:rsidP="00A452B6">
            <w:pPr>
              <w:pStyle w:val="BPNtablebody"/>
            </w:pPr>
          </w:p>
        </w:tc>
        <w:tc>
          <w:tcPr>
            <w:tcW w:w="992" w:type="dxa"/>
          </w:tcPr>
          <w:p w14:paraId="741267F5" w14:textId="77777777" w:rsidR="00A452B6" w:rsidRDefault="00A452B6" w:rsidP="00A452B6">
            <w:pPr>
              <w:pStyle w:val="BPNtablebody"/>
            </w:pPr>
          </w:p>
        </w:tc>
      </w:tr>
      <w:tr w:rsidR="00A452B6" w14:paraId="4AADC3D6" w14:textId="77777777" w:rsidTr="00A452B6">
        <w:trPr>
          <w:cantSplit/>
          <w:trHeight w:val="403"/>
        </w:trPr>
        <w:tc>
          <w:tcPr>
            <w:tcW w:w="5386" w:type="dxa"/>
          </w:tcPr>
          <w:p w14:paraId="6B794347" w14:textId="77777777" w:rsidR="00A452B6" w:rsidRDefault="00A452B6" w:rsidP="00A452B6">
            <w:pPr>
              <w:pStyle w:val="BPNtablebody"/>
            </w:pPr>
            <w:r w:rsidRPr="00ED2616">
              <w:rPr>
                <w:rFonts w:cs="Calibri"/>
                <w:szCs w:val="22"/>
              </w:rPr>
              <w:t xml:space="preserve">Project Management </w:t>
            </w:r>
          </w:p>
        </w:tc>
        <w:tc>
          <w:tcPr>
            <w:tcW w:w="992" w:type="dxa"/>
          </w:tcPr>
          <w:p w14:paraId="2616F9B9" w14:textId="77777777" w:rsidR="00A452B6" w:rsidRDefault="00A452B6" w:rsidP="00A452B6">
            <w:pPr>
              <w:pStyle w:val="BPNtablebody"/>
            </w:pPr>
          </w:p>
        </w:tc>
        <w:tc>
          <w:tcPr>
            <w:tcW w:w="993" w:type="dxa"/>
          </w:tcPr>
          <w:p w14:paraId="5A77080B" w14:textId="77777777" w:rsidR="00A452B6" w:rsidRDefault="00A452B6" w:rsidP="00A452B6">
            <w:pPr>
              <w:pStyle w:val="BPNtablebody"/>
            </w:pPr>
          </w:p>
        </w:tc>
        <w:tc>
          <w:tcPr>
            <w:tcW w:w="992" w:type="dxa"/>
          </w:tcPr>
          <w:p w14:paraId="237C8609" w14:textId="77777777" w:rsidR="00A452B6" w:rsidRDefault="00A452B6" w:rsidP="00A452B6">
            <w:pPr>
              <w:pStyle w:val="BPNtablebody"/>
            </w:pPr>
          </w:p>
        </w:tc>
        <w:tc>
          <w:tcPr>
            <w:tcW w:w="992" w:type="dxa"/>
          </w:tcPr>
          <w:p w14:paraId="7B2EBA4B" w14:textId="77777777" w:rsidR="00A452B6" w:rsidRDefault="00A452B6" w:rsidP="00A452B6">
            <w:pPr>
              <w:pStyle w:val="BPNtablebody"/>
            </w:pPr>
          </w:p>
        </w:tc>
      </w:tr>
      <w:tr w:rsidR="00A452B6" w14:paraId="1488629D" w14:textId="77777777" w:rsidTr="001203BB">
        <w:trPr>
          <w:cantSplit/>
          <w:trHeight w:val="348"/>
        </w:trPr>
        <w:tc>
          <w:tcPr>
            <w:tcW w:w="5386" w:type="dxa"/>
          </w:tcPr>
          <w:p w14:paraId="073EB480" w14:textId="77777777" w:rsidR="00A452B6" w:rsidRPr="00AF025B" w:rsidRDefault="00A452B6" w:rsidP="00A452B6">
            <w:pPr>
              <w:pStyle w:val="BPNtablebody"/>
            </w:pPr>
            <w:r w:rsidRPr="00ED2616">
              <w:rPr>
                <w:rFonts w:cs="Calibri"/>
                <w:szCs w:val="22"/>
              </w:rPr>
              <w:t xml:space="preserve">Change Management </w:t>
            </w:r>
          </w:p>
        </w:tc>
        <w:tc>
          <w:tcPr>
            <w:tcW w:w="992" w:type="dxa"/>
          </w:tcPr>
          <w:p w14:paraId="0B9F381E" w14:textId="77777777" w:rsidR="00A452B6" w:rsidRDefault="00A452B6" w:rsidP="00A452B6">
            <w:pPr>
              <w:pStyle w:val="BPNtablebody"/>
            </w:pPr>
          </w:p>
        </w:tc>
        <w:tc>
          <w:tcPr>
            <w:tcW w:w="993" w:type="dxa"/>
          </w:tcPr>
          <w:p w14:paraId="7638916A" w14:textId="77777777" w:rsidR="00A452B6" w:rsidRDefault="00A452B6" w:rsidP="00A452B6">
            <w:pPr>
              <w:pStyle w:val="BPNtablebody"/>
            </w:pPr>
          </w:p>
        </w:tc>
        <w:tc>
          <w:tcPr>
            <w:tcW w:w="992" w:type="dxa"/>
          </w:tcPr>
          <w:p w14:paraId="732F8A63" w14:textId="77777777" w:rsidR="00A452B6" w:rsidRDefault="00A452B6" w:rsidP="00A452B6">
            <w:pPr>
              <w:pStyle w:val="BPNtablebody"/>
            </w:pPr>
          </w:p>
        </w:tc>
        <w:tc>
          <w:tcPr>
            <w:tcW w:w="992" w:type="dxa"/>
          </w:tcPr>
          <w:p w14:paraId="01DCF3FA" w14:textId="77777777" w:rsidR="00A452B6" w:rsidRDefault="00A452B6" w:rsidP="00A452B6">
            <w:pPr>
              <w:pStyle w:val="BPNtablebody"/>
            </w:pPr>
          </w:p>
        </w:tc>
      </w:tr>
      <w:tr w:rsidR="00A452B6" w14:paraId="2CAF00AD" w14:textId="77777777" w:rsidTr="001203BB">
        <w:trPr>
          <w:cantSplit/>
          <w:trHeight w:val="468"/>
        </w:trPr>
        <w:tc>
          <w:tcPr>
            <w:tcW w:w="5386" w:type="dxa"/>
          </w:tcPr>
          <w:p w14:paraId="4F3BDBA1" w14:textId="77777777" w:rsidR="00A452B6" w:rsidRPr="00AB05AE" w:rsidRDefault="00A452B6" w:rsidP="00A452B6">
            <w:pPr>
              <w:pStyle w:val="BPNtablebody"/>
            </w:pPr>
            <w:r w:rsidRPr="00ED2616">
              <w:rPr>
                <w:rFonts w:cs="Calibri"/>
                <w:szCs w:val="22"/>
              </w:rPr>
              <w:t xml:space="preserve">Communication and Relationship Building </w:t>
            </w:r>
          </w:p>
        </w:tc>
        <w:tc>
          <w:tcPr>
            <w:tcW w:w="992" w:type="dxa"/>
          </w:tcPr>
          <w:p w14:paraId="4665A1FB" w14:textId="77777777" w:rsidR="00A452B6" w:rsidRDefault="00A452B6" w:rsidP="00A452B6">
            <w:pPr>
              <w:pStyle w:val="BPNtablebody"/>
            </w:pPr>
          </w:p>
        </w:tc>
        <w:tc>
          <w:tcPr>
            <w:tcW w:w="993" w:type="dxa"/>
          </w:tcPr>
          <w:p w14:paraId="4403E2A4" w14:textId="77777777" w:rsidR="00A452B6" w:rsidRDefault="00A452B6" w:rsidP="00A452B6">
            <w:pPr>
              <w:pStyle w:val="BPNtablebody"/>
            </w:pPr>
          </w:p>
        </w:tc>
        <w:tc>
          <w:tcPr>
            <w:tcW w:w="992" w:type="dxa"/>
          </w:tcPr>
          <w:p w14:paraId="641A79DA" w14:textId="77777777" w:rsidR="00A452B6" w:rsidRDefault="00A452B6" w:rsidP="00A452B6">
            <w:pPr>
              <w:pStyle w:val="BPNtablebody"/>
            </w:pPr>
          </w:p>
        </w:tc>
        <w:tc>
          <w:tcPr>
            <w:tcW w:w="992" w:type="dxa"/>
          </w:tcPr>
          <w:p w14:paraId="66C19CF3" w14:textId="77777777" w:rsidR="00A452B6" w:rsidRDefault="00A452B6" w:rsidP="00A452B6">
            <w:pPr>
              <w:pStyle w:val="BPNtablebody"/>
            </w:pPr>
          </w:p>
        </w:tc>
      </w:tr>
      <w:tr w:rsidR="00A452B6" w14:paraId="1639F976" w14:textId="77777777" w:rsidTr="00A452B6">
        <w:trPr>
          <w:cantSplit/>
          <w:trHeight w:val="437"/>
        </w:trPr>
        <w:tc>
          <w:tcPr>
            <w:tcW w:w="5386" w:type="dxa"/>
          </w:tcPr>
          <w:p w14:paraId="50B9C3FD" w14:textId="77777777" w:rsidR="00A452B6" w:rsidRPr="00AF025B" w:rsidRDefault="00A452B6" w:rsidP="00A452B6">
            <w:pPr>
              <w:pStyle w:val="BPNtablebody"/>
            </w:pPr>
            <w:r w:rsidRPr="00ED2616">
              <w:rPr>
                <w:rFonts w:cs="Calibri"/>
                <w:szCs w:val="22"/>
              </w:rPr>
              <w:t xml:space="preserve">Strategic Management </w:t>
            </w:r>
          </w:p>
        </w:tc>
        <w:tc>
          <w:tcPr>
            <w:tcW w:w="992" w:type="dxa"/>
          </w:tcPr>
          <w:p w14:paraId="01A0A445" w14:textId="77777777" w:rsidR="00A452B6" w:rsidRDefault="00A452B6" w:rsidP="00A452B6">
            <w:pPr>
              <w:pStyle w:val="BPNtablebody"/>
            </w:pPr>
          </w:p>
        </w:tc>
        <w:tc>
          <w:tcPr>
            <w:tcW w:w="993" w:type="dxa"/>
          </w:tcPr>
          <w:p w14:paraId="0ACA9900" w14:textId="77777777" w:rsidR="00A452B6" w:rsidRDefault="00A452B6" w:rsidP="00A452B6">
            <w:pPr>
              <w:pStyle w:val="BPNtablebody"/>
            </w:pPr>
          </w:p>
        </w:tc>
        <w:tc>
          <w:tcPr>
            <w:tcW w:w="992" w:type="dxa"/>
          </w:tcPr>
          <w:p w14:paraId="195C55BE" w14:textId="77777777" w:rsidR="00A452B6" w:rsidRDefault="00A452B6" w:rsidP="00A452B6">
            <w:pPr>
              <w:pStyle w:val="BPNtablebody"/>
            </w:pPr>
          </w:p>
        </w:tc>
        <w:tc>
          <w:tcPr>
            <w:tcW w:w="992" w:type="dxa"/>
          </w:tcPr>
          <w:p w14:paraId="0652169B" w14:textId="77777777" w:rsidR="00A452B6" w:rsidRDefault="00A452B6" w:rsidP="00A452B6">
            <w:pPr>
              <w:pStyle w:val="BPNtablebody"/>
            </w:pPr>
          </w:p>
        </w:tc>
      </w:tr>
      <w:bookmarkEnd w:id="7"/>
      <w:tr w:rsidR="00FB7F56" w14:paraId="0162526A" w14:textId="77777777" w:rsidTr="00EB370C">
        <w:trPr>
          <w:cantSplit/>
          <w:trHeight w:val="492"/>
        </w:trPr>
        <w:tc>
          <w:tcPr>
            <w:tcW w:w="5386" w:type="dxa"/>
            <w:shd w:val="clear" w:color="auto" w:fill="B7B7B7"/>
          </w:tcPr>
          <w:p w14:paraId="2FEA8C1A" w14:textId="4CEFE2D8" w:rsidR="00FB7F56" w:rsidRPr="00AE6B98" w:rsidRDefault="00FB7F56" w:rsidP="00EB370C">
            <w:pPr>
              <w:pStyle w:val="BPNtablebody"/>
            </w:pPr>
            <w:r>
              <w:rPr>
                <w:b/>
              </w:rPr>
              <w:t>Behaviours</w:t>
            </w:r>
          </w:p>
        </w:tc>
        <w:tc>
          <w:tcPr>
            <w:tcW w:w="992" w:type="dxa"/>
            <w:shd w:val="clear" w:color="auto" w:fill="B7B7B7"/>
          </w:tcPr>
          <w:p w14:paraId="540D80E9" w14:textId="77777777" w:rsidR="00FB7F56" w:rsidRDefault="00FB7F56" w:rsidP="00EB370C">
            <w:pPr>
              <w:pStyle w:val="BPNtablebody"/>
            </w:pPr>
            <w:r w:rsidRPr="00A452B6">
              <w:rPr>
                <w:b/>
                <w:sz w:val="18"/>
                <w:szCs w:val="18"/>
              </w:rPr>
              <w:t>Limited</w:t>
            </w:r>
          </w:p>
        </w:tc>
        <w:tc>
          <w:tcPr>
            <w:tcW w:w="993" w:type="dxa"/>
            <w:shd w:val="clear" w:color="auto" w:fill="B7B7B7"/>
          </w:tcPr>
          <w:p w14:paraId="25173EB7" w14:textId="77777777" w:rsidR="00FB7F56" w:rsidRDefault="00FB7F56" w:rsidP="00EB370C">
            <w:pPr>
              <w:pStyle w:val="BPNtablebody"/>
            </w:pPr>
            <w:r w:rsidRPr="00A452B6">
              <w:rPr>
                <w:b/>
                <w:sz w:val="18"/>
                <w:szCs w:val="18"/>
              </w:rPr>
              <w:t>Fair</w:t>
            </w:r>
          </w:p>
        </w:tc>
        <w:tc>
          <w:tcPr>
            <w:tcW w:w="992" w:type="dxa"/>
            <w:shd w:val="clear" w:color="auto" w:fill="B7B7B7"/>
          </w:tcPr>
          <w:p w14:paraId="07CDC4AE" w14:textId="77777777" w:rsidR="00FB7F56" w:rsidRDefault="00FB7F56" w:rsidP="00EB370C">
            <w:pPr>
              <w:pStyle w:val="BPNtablebody"/>
            </w:pPr>
            <w:r w:rsidRPr="00A452B6">
              <w:rPr>
                <w:b/>
                <w:sz w:val="18"/>
                <w:szCs w:val="18"/>
              </w:rPr>
              <w:t>Good</w:t>
            </w:r>
          </w:p>
        </w:tc>
        <w:tc>
          <w:tcPr>
            <w:tcW w:w="992" w:type="dxa"/>
            <w:shd w:val="clear" w:color="auto" w:fill="B7B7B7"/>
          </w:tcPr>
          <w:p w14:paraId="7BFF04A6" w14:textId="77777777" w:rsidR="00FB7F56" w:rsidRDefault="00FB7F56" w:rsidP="00EB370C">
            <w:pPr>
              <w:pStyle w:val="BPNtablebody"/>
            </w:pPr>
            <w:r w:rsidRPr="00A452B6">
              <w:rPr>
                <w:b/>
                <w:sz w:val="18"/>
                <w:szCs w:val="18"/>
              </w:rPr>
              <w:t>Excellent</w:t>
            </w:r>
          </w:p>
        </w:tc>
      </w:tr>
      <w:tr w:rsidR="00FB7F56" w14:paraId="3F044D09" w14:textId="77777777" w:rsidTr="00EB370C">
        <w:trPr>
          <w:cantSplit/>
          <w:trHeight w:val="425"/>
        </w:trPr>
        <w:tc>
          <w:tcPr>
            <w:tcW w:w="5386" w:type="dxa"/>
          </w:tcPr>
          <w:p w14:paraId="34005498" w14:textId="3D7A8DDA" w:rsidR="00FB7F56" w:rsidRPr="00AE6B98" w:rsidRDefault="00FB7F56" w:rsidP="00FB7F56">
            <w:pPr>
              <w:pStyle w:val="BPNtablebody"/>
            </w:pPr>
            <w:r w:rsidRPr="00ED2616">
              <w:rPr>
                <w:rFonts w:cs="Calibri"/>
                <w:szCs w:val="22"/>
              </w:rPr>
              <w:t xml:space="preserve">Change Catalyst </w:t>
            </w:r>
          </w:p>
        </w:tc>
        <w:tc>
          <w:tcPr>
            <w:tcW w:w="992" w:type="dxa"/>
          </w:tcPr>
          <w:p w14:paraId="0BBA2BE2" w14:textId="77777777" w:rsidR="00FB7F56" w:rsidRDefault="00FB7F56" w:rsidP="00FB7F56">
            <w:pPr>
              <w:pStyle w:val="BPNtablebody"/>
            </w:pPr>
          </w:p>
        </w:tc>
        <w:tc>
          <w:tcPr>
            <w:tcW w:w="993" w:type="dxa"/>
          </w:tcPr>
          <w:p w14:paraId="003221DC" w14:textId="77777777" w:rsidR="00FB7F56" w:rsidRDefault="00FB7F56" w:rsidP="00FB7F56">
            <w:pPr>
              <w:pStyle w:val="BPNtablebody"/>
            </w:pPr>
          </w:p>
        </w:tc>
        <w:tc>
          <w:tcPr>
            <w:tcW w:w="992" w:type="dxa"/>
          </w:tcPr>
          <w:p w14:paraId="1E4998DA" w14:textId="77777777" w:rsidR="00FB7F56" w:rsidRDefault="00FB7F56" w:rsidP="00FB7F56">
            <w:pPr>
              <w:pStyle w:val="BPNtablebody"/>
            </w:pPr>
          </w:p>
        </w:tc>
        <w:tc>
          <w:tcPr>
            <w:tcW w:w="992" w:type="dxa"/>
          </w:tcPr>
          <w:p w14:paraId="0879AD91" w14:textId="77777777" w:rsidR="00FB7F56" w:rsidRDefault="00FB7F56" w:rsidP="00FB7F56">
            <w:pPr>
              <w:pStyle w:val="BPNtablebody"/>
            </w:pPr>
          </w:p>
        </w:tc>
      </w:tr>
      <w:tr w:rsidR="00FB7F56" w14:paraId="197E02DE" w14:textId="77777777" w:rsidTr="00EB370C">
        <w:trPr>
          <w:cantSplit/>
          <w:trHeight w:val="403"/>
        </w:trPr>
        <w:tc>
          <w:tcPr>
            <w:tcW w:w="5386" w:type="dxa"/>
          </w:tcPr>
          <w:p w14:paraId="230C1AB1" w14:textId="2BF2701C" w:rsidR="00FB7F56" w:rsidRDefault="00FB7F56" w:rsidP="00FB7F56">
            <w:pPr>
              <w:pStyle w:val="BPNtablebody"/>
            </w:pPr>
            <w:r w:rsidRPr="00ED2616">
              <w:rPr>
                <w:rFonts w:cs="Calibri"/>
                <w:szCs w:val="22"/>
              </w:rPr>
              <w:t xml:space="preserve">Decision Maker </w:t>
            </w:r>
          </w:p>
        </w:tc>
        <w:tc>
          <w:tcPr>
            <w:tcW w:w="992" w:type="dxa"/>
          </w:tcPr>
          <w:p w14:paraId="2268ADF4" w14:textId="77777777" w:rsidR="00FB7F56" w:rsidRDefault="00FB7F56" w:rsidP="00FB7F56">
            <w:pPr>
              <w:pStyle w:val="BPNtablebody"/>
            </w:pPr>
          </w:p>
        </w:tc>
        <w:tc>
          <w:tcPr>
            <w:tcW w:w="993" w:type="dxa"/>
          </w:tcPr>
          <w:p w14:paraId="24E61F37" w14:textId="77777777" w:rsidR="00FB7F56" w:rsidRDefault="00FB7F56" w:rsidP="00FB7F56">
            <w:pPr>
              <w:pStyle w:val="BPNtablebody"/>
            </w:pPr>
          </w:p>
        </w:tc>
        <w:tc>
          <w:tcPr>
            <w:tcW w:w="992" w:type="dxa"/>
          </w:tcPr>
          <w:p w14:paraId="2B4855F3" w14:textId="77777777" w:rsidR="00FB7F56" w:rsidRDefault="00FB7F56" w:rsidP="00FB7F56">
            <w:pPr>
              <w:pStyle w:val="BPNtablebody"/>
            </w:pPr>
          </w:p>
        </w:tc>
        <w:tc>
          <w:tcPr>
            <w:tcW w:w="992" w:type="dxa"/>
          </w:tcPr>
          <w:p w14:paraId="1116245F" w14:textId="77777777" w:rsidR="00FB7F56" w:rsidRDefault="00FB7F56" w:rsidP="00FB7F56">
            <w:pPr>
              <w:pStyle w:val="BPNtablebody"/>
            </w:pPr>
          </w:p>
        </w:tc>
      </w:tr>
      <w:tr w:rsidR="00FB7F56" w14:paraId="0498B9B7" w14:textId="77777777" w:rsidTr="00EB370C">
        <w:trPr>
          <w:cantSplit/>
          <w:trHeight w:val="348"/>
        </w:trPr>
        <w:tc>
          <w:tcPr>
            <w:tcW w:w="5386" w:type="dxa"/>
          </w:tcPr>
          <w:p w14:paraId="1240B486" w14:textId="055B78EA" w:rsidR="00FB7F56" w:rsidRPr="00AF025B" w:rsidRDefault="00FB7F56" w:rsidP="00FB7F56">
            <w:pPr>
              <w:pStyle w:val="BPNtablebody"/>
            </w:pPr>
            <w:r w:rsidRPr="00ED2616">
              <w:rPr>
                <w:rFonts w:cs="Calibri"/>
                <w:szCs w:val="22"/>
              </w:rPr>
              <w:t xml:space="preserve">Skilled Negotiator </w:t>
            </w:r>
          </w:p>
        </w:tc>
        <w:tc>
          <w:tcPr>
            <w:tcW w:w="992" w:type="dxa"/>
          </w:tcPr>
          <w:p w14:paraId="575A4328" w14:textId="77777777" w:rsidR="00FB7F56" w:rsidRDefault="00FB7F56" w:rsidP="00FB7F56">
            <w:pPr>
              <w:pStyle w:val="BPNtablebody"/>
            </w:pPr>
          </w:p>
        </w:tc>
        <w:tc>
          <w:tcPr>
            <w:tcW w:w="993" w:type="dxa"/>
          </w:tcPr>
          <w:p w14:paraId="3CCF4480" w14:textId="77777777" w:rsidR="00FB7F56" w:rsidRDefault="00FB7F56" w:rsidP="00FB7F56">
            <w:pPr>
              <w:pStyle w:val="BPNtablebody"/>
            </w:pPr>
          </w:p>
        </w:tc>
        <w:tc>
          <w:tcPr>
            <w:tcW w:w="992" w:type="dxa"/>
          </w:tcPr>
          <w:p w14:paraId="7683BCB6" w14:textId="77777777" w:rsidR="00FB7F56" w:rsidRDefault="00FB7F56" w:rsidP="00FB7F56">
            <w:pPr>
              <w:pStyle w:val="BPNtablebody"/>
            </w:pPr>
          </w:p>
        </w:tc>
        <w:tc>
          <w:tcPr>
            <w:tcW w:w="992" w:type="dxa"/>
          </w:tcPr>
          <w:p w14:paraId="36EB86A2" w14:textId="77777777" w:rsidR="00FB7F56" w:rsidRDefault="00FB7F56" w:rsidP="00FB7F56">
            <w:pPr>
              <w:pStyle w:val="BPNtablebody"/>
            </w:pPr>
          </w:p>
        </w:tc>
      </w:tr>
      <w:tr w:rsidR="00FB7F56" w14:paraId="193E2C7D" w14:textId="77777777" w:rsidTr="00D6444E">
        <w:trPr>
          <w:cantSplit/>
          <w:trHeight w:val="468"/>
        </w:trPr>
        <w:tc>
          <w:tcPr>
            <w:tcW w:w="5386" w:type="dxa"/>
            <w:tcBorders>
              <w:top w:val="single" w:sz="4" w:space="0" w:color="auto"/>
              <w:left w:val="single" w:sz="4" w:space="0" w:color="auto"/>
              <w:bottom w:val="single" w:sz="4" w:space="0" w:color="auto"/>
              <w:right w:val="single" w:sz="4" w:space="0" w:color="auto"/>
            </w:tcBorders>
          </w:tcPr>
          <w:p w14:paraId="7219522E" w14:textId="559382E2" w:rsidR="00FB7F56" w:rsidRPr="00AB05AE" w:rsidRDefault="00FB7F56" w:rsidP="00FB7F56">
            <w:pPr>
              <w:pStyle w:val="BPNtablebody"/>
            </w:pPr>
            <w:r w:rsidRPr="00ED2616">
              <w:rPr>
                <w:rFonts w:cs="Calibri"/>
                <w:szCs w:val="22"/>
              </w:rPr>
              <w:t xml:space="preserve">Collaborative </w:t>
            </w:r>
          </w:p>
        </w:tc>
        <w:tc>
          <w:tcPr>
            <w:tcW w:w="992" w:type="dxa"/>
          </w:tcPr>
          <w:p w14:paraId="5072B176" w14:textId="77777777" w:rsidR="00FB7F56" w:rsidRDefault="00FB7F56" w:rsidP="00FB7F56">
            <w:pPr>
              <w:pStyle w:val="BPNtablebody"/>
            </w:pPr>
          </w:p>
        </w:tc>
        <w:tc>
          <w:tcPr>
            <w:tcW w:w="993" w:type="dxa"/>
          </w:tcPr>
          <w:p w14:paraId="5B0ED45B" w14:textId="77777777" w:rsidR="00FB7F56" w:rsidRDefault="00FB7F56" w:rsidP="00FB7F56">
            <w:pPr>
              <w:pStyle w:val="BPNtablebody"/>
            </w:pPr>
          </w:p>
        </w:tc>
        <w:tc>
          <w:tcPr>
            <w:tcW w:w="992" w:type="dxa"/>
          </w:tcPr>
          <w:p w14:paraId="62F594C0" w14:textId="77777777" w:rsidR="00FB7F56" w:rsidRDefault="00FB7F56" w:rsidP="00FB7F56">
            <w:pPr>
              <w:pStyle w:val="BPNtablebody"/>
            </w:pPr>
          </w:p>
        </w:tc>
        <w:tc>
          <w:tcPr>
            <w:tcW w:w="992" w:type="dxa"/>
          </w:tcPr>
          <w:p w14:paraId="025886F6" w14:textId="77777777" w:rsidR="00FB7F56" w:rsidRDefault="00FB7F56" w:rsidP="00FB7F56">
            <w:pPr>
              <w:pStyle w:val="BPNtablebody"/>
            </w:pPr>
          </w:p>
        </w:tc>
      </w:tr>
      <w:tr w:rsidR="00FB7F56" w14:paraId="436EF9EE" w14:textId="77777777" w:rsidTr="00D6444E">
        <w:trPr>
          <w:cantSplit/>
          <w:trHeight w:val="437"/>
        </w:trPr>
        <w:tc>
          <w:tcPr>
            <w:tcW w:w="5386" w:type="dxa"/>
            <w:tcBorders>
              <w:top w:val="single" w:sz="4" w:space="0" w:color="auto"/>
              <w:left w:val="single" w:sz="4" w:space="0" w:color="auto"/>
              <w:bottom w:val="single" w:sz="4" w:space="0" w:color="auto"/>
              <w:right w:val="single" w:sz="4" w:space="0" w:color="auto"/>
            </w:tcBorders>
          </w:tcPr>
          <w:p w14:paraId="013D75D5" w14:textId="0282C0AE" w:rsidR="00FB7F56" w:rsidRPr="00AF025B" w:rsidRDefault="00FB7F56" w:rsidP="00FB7F56">
            <w:pPr>
              <w:pStyle w:val="BPNtablebody"/>
            </w:pPr>
            <w:r w:rsidRPr="00ED2616">
              <w:rPr>
                <w:rFonts w:cs="Calibri"/>
                <w:szCs w:val="22"/>
              </w:rPr>
              <w:t xml:space="preserve">Resilient </w:t>
            </w:r>
          </w:p>
        </w:tc>
        <w:tc>
          <w:tcPr>
            <w:tcW w:w="992" w:type="dxa"/>
          </w:tcPr>
          <w:p w14:paraId="2DDE1C42" w14:textId="77777777" w:rsidR="00FB7F56" w:rsidRDefault="00FB7F56" w:rsidP="00FB7F56">
            <w:pPr>
              <w:pStyle w:val="BPNtablebody"/>
            </w:pPr>
          </w:p>
        </w:tc>
        <w:tc>
          <w:tcPr>
            <w:tcW w:w="993" w:type="dxa"/>
          </w:tcPr>
          <w:p w14:paraId="3CEEEC71" w14:textId="77777777" w:rsidR="00FB7F56" w:rsidRDefault="00FB7F56" w:rsidP="00FB7F56">
            <w:pPr>
              <w:pStyle w:val="BPNtablebody"/>
            </w:pPr>
          </w:p>
        </w:tc>
        <w:tc>
          <w:tcPr>
            <w:tcW w:w="992" w:type="dxa"/>
          </w:tcPr>
          <w:p w14:paraId="34F16F93" w14:textId="77777777" w:rsidR="00FB7F56" w:rsidRDefault="00FB7F56" w:rsidP="00FB7F56">
            <w:pPr>
              <w:pStyle w:val="BPNtablebody"/>
            </w:pPr>
          </w:p>
        </w:tc>
        <w:tc>
          <w:tcPr>
            <w:tcW w:w="992" w:type="dxa"/>
          </w:tcPr>
          <w:p w14:paraId="2D522555" w14:textId="77777777" w:rsidR="00FB7F56" w:rsidRDefault="00FB7F56" w:rsidP="00FB7F56">
            <w:pPr>
              <w:pStyle w:val="BPNtablebody"/>
            </w:pPr>
          </w:p>
        </w:tc>
      </w:tr>
    </w:tbl>
    <w:p w14:paraId="4923E817" w14:textId="77777777" w:rsidR="00EC5525" w:rsidRDefault="00EC5525" w:rsidP="00BB63A2">
      <w:pPr>
        <w:pStyle w:val="Heading1"/>
        <w:spacing w:before="0"/>
      </w:pPr>
    </w:p>
    <w:p w14:paraId="018B8FBE" w14:textId="77777777" w:rsidR="00EC5525" w:rsidRPr="0044006C" w:rsidRDefault="00EC5525" w:rsidP="00FF0E89">
      <w:pPr>
        <w:pStyle w:val="Heading1"/>
        <w:rPr>
          <w:rFonts w:ascii="Century Gothic" w:hAnsi="Century Gothic"/>
          <w:sz w:val="30"/>
          <w:szCs w:val="30"/>
        </w:rPr>
      </w:pPr>
      <w:r>
        <w:br w:type="page"/>
      </w:r>
      <w:r w:rsidRPr="0044006C">
        <w:rPr>
          <w:rFonts w:ascii="Century Gothic" w:hAnsi="Century Gothic"/>
          <w:sz w:val="30"/>
          <w:szCs w:val="30"/>
        </w:rPr>
        <w:lastRenderedPageBreak/>
        <w:t xml:space="preserve">Annex 1: Knowledge, Skills and Behaviours to be assessed by each assessment method </w:t>
      </w:r>
    </w:p>
    <w:p w14:paraId="62160B7E" w14:textId="77777777" w:rsidR="00FF0E89" w:rsidRPr="00EC5525" w:rsidRDefault="00FF0E89" w:rsidP="00EC5525">
      <w:pPr>
        <w:pStyle w:val="Default"/>
        <w:rPr>
          <w:b/>
          <w:bCs/>
          <w:sz w:val="23"/>
          <w:szCs w:val="23"/>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812"/>
        <w:gridCol w:w="2324"/>
      </w:tblGrid>
      <w:tr w:rsidR="00262DD5" w:rsidRPr="00ED2616" w14:paraId="496546F3" w14:textId="77777777" w:rsidTr="00ED2616">
        <w:trPr>
          <w:trHeight w:val="356"/>
        </w:trPr>
        <w:tc>
          <w:tcPr>
            <w:tcW w:w="1809" w:type="dxa"/>
            <w:shd w:val="clear" w:color="auto" w:fill="D9D9D9"/>
          </w:tcPr>
          <w:p w14:paraId="02C3C5B5" w14:textId="77777777" w:rsidR="00EC5525" w:rsidRPr="00ED2616" w:rsidRDefault="00EC5525">
            <w:pPr>
              <w:pStyle w:val="Default"/>
              <w:rPr>
                <w:rFonts w:ascii="Calibri" w:hAnsi="Calibri" w:cs="Calibri"/>
                <w:b/>
                <w:sz w:val="22"/>
                <w:szCs w:val="22"/>
              </w:rPr>
            </w:pPr>
            <w:r w:rsidRPr="00ED2616">
              <w:rPr>
                <w:rFonts w:ascii="Calibri" w:hAnsi="Calibri" w:cs="Calibri"/>
                <w:b/>
                <w:bCs/>
                <w:sz w:val="22"/>
                <w:szCs w:val="22"/>
              </w:rPr>
              <w:t xml:space="preserve">Knowledge </w:t>
            </w:r>
          </w:p>
        </w:tc>
        <w:tc>
          <w:tcPr>
            <w:tcW w:w="5812" w:type="dxa"/>
            <w:shd w:val="clear" w:color="auto" w:fill="D9D9D9"/>
          </w:tcPr>
          <w:p w14:paraId="2B846308" w14:textId="77777777" w:rsidR="00EC5525" w:rsidRPr="00ED2616" w:rsidRDefault="00EC5525">
            <w:pPr>
              <w:pStyle w:val="Default"/>
              <w:rPr>
                <w:rFonts w:ascii="Calibri" w:hAnsi="Calibri" w:cs="Calibri"/>
                <w:b/>
                <w:bCs/>
                <w:sz w:val="22"/>
                <w:szCs w:val="22"/>
              </w:rPr>
            </w:pPr>
            <w:r w:rsidRPr="00ED2616">
              <w:rPr>
                <w:rFonts w:ascii="Calibri" w:hAnsi="Calibri" w:cs="Calibri"/>
                <w:b/>
                <w:bCs/>
                <w:sz w:val="22"/>
                <w:szCs w:val="22"/>
              </w:rPr>
              <w:t xml:space="preserve">What is required for occupational competence </w:t>
            </w:r>
          </w:p>
        </w:tc>
        <w:tc>
          <w:tcPr>
            <w:tcW w:w="2324" w:type="dxa"/>
            <w:shd w:val="clear" w:color="auto" w:fill="D9D9D9"/>
          </w:tcPr>
          <w:p w14:paraId="10D7FF2E" w14:textId="77777777" w:rsidR="00EC5525" w:rsidRPr="00ED2616" w:rsidRDefault="00EC5525">
            <w:pPr>
              <w:pStyle w:val="Default"/>
              <w:rPr>
                <w:rFonts w:ascii="Calibri" w:hAnsi="Calibri" w:cs="Calibri"/>
                <w:b/>
                <w:sz w:val="22"/>
                <w:szCs w:val="22"/>
              </w:rPr>
            </w:pPr>
            <w:r w:rsidRPr="00ED2616">
              <w:rPr>
                <w:rFonts w:ascii="Calibri" w:hAnsi="Calibri" w:cs="Calibri"/>
                <w:b/>
                <w:bCs/>
                <w:sz w:val="22"/>
                <w:szCs w:val="22"/>
              </w:rPr>
              <w:t xml:space="preserve">Assessment Method </w:t>
            </w:r>
          </w:p>
        </w:tc>
      </w:tr>
      <w:tr w:rsidR="00EC5525" w:rsidRPr="00ED2616" w14:paraId="5BF2231C" w14:textId="77777777" w:rsidTr="00262DD5">
        <w:trPr>
          <w:trHeight w:val="1699"/>
        </w:trPr>
        <w:tc>
          <w:tcPr>
            <w:tcW w:w="1809" w:type="dxa"/>
          </w:tcPr>
          <w:p w14:paraId="4D5FBDCE"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Finance </w:t>
            </w:r>
          </w:p>
        </w:tc>
        <w:tc>
          <w:tcPr>
            <w:tcW w:w="5812" w:type="dxa"/>
          </w:tcPr>
          <w:p w14:paraId="6D016665"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Understands the range of educational funding streams available which are applicable to their educational setting. </w:t>
            </w:r>
          </w:p>
          <w:p w14:paraId="69C2135F"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Has a working knowledge of accounting practices and understands how to apply business principles to the optimum use of funding to support learning outcomes. </w:t>
            </w:r>
          </w:p>
          <w:p w14:paraId="556E05E4"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Understands school compliance issues. </w:t>
            </w:r>
          </w:p>
          <w:p w14:paraId="78E4E89F"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Recognises business efficiency and knows the range of data required to inform school business decisions. </w:t>
            </w:r>
          </w:p>
          <w:p w14:paraId="00BD1214" w14:textId="77777777" w:rsidR="00FF0E89" w:rsidRPr="00ED2616" w:rsidRDefault="00FF0E89">
            <w:pPr>
              <w:pStyle w:val="Default"/>
              <w:rPr>
                <w:rFonts w:ascii="Calibri" w:hAnsi="Calibri" w:cs="Calibri"/>
                <w:sz w:val="22"/>
                <w:szCs w:val="22"/>
              </w:rPr>
            </w:pPr>
          </w:p>
        </w:tc>
        <w:tc>
          <w:tcPr>
            <w:tcW w:w="2324" w:type="dxa"/>
          </w:tcPr>
          <w:p w14:paraId="706B358C"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EC5525" w:rsidRPr="00ED2616" w14:paraId="6FE2AA94" w14:textId="77777777" w:rsidTr="00262DD5">
        <w:trPr>
          <w:trHeight w:val="1089"/>
        </w:trPr>
        <w:tc>
          <w:tcPr>
            <w:tcW w:w="1809" w:type="dxa"/>
          </w:tcPr>
          <w:p w14:paraId="7339DA16"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Procurement </w:t>
            </w:r>
          </w:p>
        </w:tc>
        <w:tc>
          <w:tcPr>
            <w:tcW w:w="5812" w:type="dxa"/>
          </w:tcPr>
          <w:p w14:paraId="0D7073EF"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Knowledge of school procurement regulations and requirements and how to achieve value for money, including collaborative procurement. Understands how to manage collaborative processes with other schools in order to share good practice and secure financial efficiencies. Has an awareness of the complexities of procurement law. </w:t>
            </w:r>
          </w:p>
          <w:p w14:paraId="2E1C47B4" w14:textId="77777777" w:rsidR="00FF0E89" w:rsidRPr="00ED2616" w:rsidRDefault="00FF0E89">
            <w:pPr>
              <w:pStyle w:val="Default"/>
              <w:rPr>
                <w:rFonts w:ascii="Calibri" w:hAnsi="Calibri" w:cs="Calibri"/>
                <w:sz w:val="22"/>
                <w:szCs w:val="22"/>
              </w:rPr>
            </w:pPr>
          </w:p>
        </w:tc>
        <w:tc>
          <w:tcPr>
            <w:tcW w:w="2324" w:type="dxa"/>
          </w:tcPr>
          <w:p w14:paraId="0DF7A0DB"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EC5525" w:rsidRPr="00ED2616" w14:paraId="460EB17D" w14:textId="77777777" w:rsidTr="00262DD5">
        <w:trPr>
          <w:trHeight w:val="905"/>
        </w:trPr>
        <w:tc>
          <w:tcPr>
            <w:tcW w:w="1809" w:type="dxa"/>
          </w:tcPr>
          <w:p w14:paraId="65B6D25F"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Human Resources </w:t>
            </w:r>
          </w:p>
        </w:tc>
        <w:tc>
          <w:tcPr>
            <w:tcW w:w="5812" w:type="dxa"/>
          </w:tcPr>
          <w:p w14:paraId="31B161DA"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Understands the complexities of teaching and support staff contracts, terms &amp; conditions of employment and payroll. Understands educational HR policies, safer recruitment, and compliance with safeguarding priorities and equality legislation. Has an awareness of when and where to seek legal </w:t>
            </w:r>
            <w:proofErr w:type="gramStart"/>
            <w:r w:rsidRPr="00ED2616">
              <w:rPr>
                <w:rFonts w:ascii="Calibri" w:hAnsi="Calibri" w:cs="Calibri"/>
                <w:sz w:val="22"/>
                <w:szCs w:val="22"/>
              </w:rPr>
              <w:t>advice.</w:t>
            </w:r>
            <w:proofErr w:type="gramEnd"/>
            <w:r w:rsidRPr="00ED2616">
              <w:rPr>
                <w:rFonts w:ascii="Calibri" w:hAnsi="Calibri" w:cs="Calibri"/>
                <w:sz w:val="22"/>
                <w:szCs w:val="22"/>
              </w:rPr>
              <w:t xml:space="preserve"> </w:t>
            </w:r>
          </w:p>
          <w:p w14:paraId="7D03ABC7" w14:textId="77777777" w:rsidR="00FF0E89" w:rsidRPr="00ED2616" w:rsidRDefault="00FF0E89">
            <w:pPr>
              <w:pStyle w:val="Default"/>
              <w:rPr>
                <w:rFonts w:ascii="Calibri" w:hAnsi="Calibri" w:cs="Calibri"/>
                <w:sz w:val="22"/>
                <w:szCs w:val="22"/>
              </w:rPr>
            </w:pPr>
          </w:p>
        </w:tc>
        <w:tc>
          <w:tcPr>
            <w:tcW w:w="2324" w:type="dxa"/>
          </w:tcPr>
          <w:p w14:paraId="10E1EB5B"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EC5525" w:rsidRPr="00ED2616" w14:paraId="6CD683E3" w14:textId="77777777" w:rsidTr="00262DD5">
        <w:trPr>
          <w:trHeight w:val="1222"/>
        </w:trPr>
        <w:tc>
          <w:tcPr>
            <w:tcW w:w="1809" w:type="dxa"/>
          </w:tcPr>
          <w:p w14:paraId="3CBBE16D"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Managing Support Services </w:t>
            </w:r>
          </w:p>
        </w:tc>
        <w:tc>
          <w:tcPr>
            <w:tcW w:w="5812" w:type="dxa"/>
          </w:tcPr>
          <w:p w14:paraId="0EC3E459"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Knows the impact of educational policies at an operational level in order to support the school development plan. Understands the influence of educational regulatory bodies (DfE, Ofsted, etc). Is aware of Ofsted requirements and the implications these have for the workforce and planning in a school. Knows how to manage the DfE pupil and workforce census and their impact on the school. </w:t>
            </w:r>
          </w:p>
          <w:p w14:paraId="0C1BE454" w14:textId="77777777" w:rsidR="00FF0E89" w:rsidRPr="00ED2616" w:rsidRDefault="00FF0E89">
            <w:pPr>
              <w:pStyle w:val="Default"/>
              <w:rPr>
                <w:rFonts w:ascii="Calibri" w:hAnsi="Calibri" w:cs="Calibri"/>
                <w:sz w:val="22"/>
                <w:szCs w:val="22"/>
              </w:rPr>
            </w:pPr>
          </w:p>
        </w:tc>
        <w:tc>
          <w:tcPr>
            <w:tcW w:w="2324" w:type="dxa"/>
          </w:tcPr>
          <w:p w14:paraId="2513349F"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EC5525" w:rsidRPr="00ED2616" w14:paraId="7412BEF0" w14:textId="77777777" w:rsidTr="00262DD5">
        <w:trPr>
          <w:trHeight w:val="429"/>
        </w:trPr>
        <w:tc>
          <w:tcPr>
            <w:tcW w:w="1809" w:type="dxa"/>
          </w:tcPr>
          <w:p w14:paraId="7C8E8A48"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Governance and Risk </w:t>
            </w:r>
          </w:p>
        </w:tc>
        <w:tc>
          <w:tcPr>
            <w:tcW w:w="5812" w:type="dxa"/>
          </w:tcPr>
          <w:p w14:paraId="035BDEE0"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Has practical knowledge of the supporting documentation governors need in order to carry out their role effectively. Understands the process of risk management and procures and manages insurance cover for the school to mitigate risks as appropriate. Has appropriate knowledge enabling compliance with charitable status and education law. Understands the impact of, and how to implement, safeguarding policy in a school environment. </w:t>
            </w:r>
          </w:p>
          <w:p w14:paraId="7681EE72" w14:textId="77777777" w:rsidR="00FF0E89" w:rsidRPr="00ED2616" w:rsidRDefault="00FF0E89">
            <w:pPr>
              <w:pStyle w:val="Default"/>
              <w:rPr>
                <w:rFonts w:ascii="Calibri" w:hAnsi="Calibri" w:cs="Calibri"/>
                <w:sz w:val="22"/>
                <w:szCs w:val="22"/>
              </w:rPr>
            </w:pPr>
          </w:p>
        </w:tc>
        <w:tc>
          <w:tcPr>
            <w:tcW w:w="2324" w:type="dxa"/>
          </w:tcPr>
          <w:p w14:paraId="71A578A8" w14:textId="77777777" w:rsidR="00EC5525" w:rsidRPr="00ED2616" w:rsidRDefault="00EC5525">
            <w:pPr>
              <w:pStyle w:val="Default"/>
              <w:rPr>
                <w:rFonts w:ascii="Calibri" w:hAnsi="Calibri" w:cs="Calibri"/>
                <w:sz w:val="22"/>
                <w:szCs w:val="22"/>
              </w:rPr>
            </w:pPr>
            <w:r w:rsidRPr="00ED2616">
              <w:rPr>
                <w:rFonts w:ascii="Calibri" w:hAnsi="Calibri" w:cs="Calibri"/>
                <w:sz w:val="22"/>
                <w:szCs w:val="22"/>
              </w:rPr>
              <w:t xml:space="preserve">Simulated task </w:t>
            </w:r>
          </w:p>
        </w:tc>
      </w:tr>
      <w:tr w:rsidR="00FF0E89" w:rsidRPr="00ED2616" w14:paraId="2EC190CD" w14:textId="77777777" w:rsidTr="00262DD5">
        <w:trPr>
          <w:trHeight w:val="429"/>
        </w:trPr>
        <w:tc>
          <w:tcPr>
            <w:tcW w:w="1809" w:type="dxa"/>
          </w:tcPr>
          <w:p w14:paraId="0E33EB69"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Marketing </w:t>
            </w:r>
          </w:p>
        </w:tc>
        <w:tc>
          <w:tcPr>
            <w:tcW w:w="5812" w:type="dxa"/>
          </w:tcPr>
          <w:p w14:paraId="78DAD61C"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Understands how marketing can be used to underpin school funding. Knows the marketing priorities of their school and the impact marketing activities can have. Understands marketing activities to promote their school and </w:t>
            </w:r>
            <w:proofErr w:type="gramStart"/>
            <w:r w:rsidRPr="00ED2616">
              <w:rPr>
                <w:rFonts w:ascii="Calibri" w:hAnsi="Calibri" w:cs="Calibri"/>
                <w:sz w:val="22"/>
                <w:szCs w:val="22"/>
              </w:rPr>
              <w:t>takes into account</w:t>
            </w:r>
            <w:proofErr w:type="gramEnd"/>
            <w:r w:rsidRPr="00ED2616">
              <w:rPr>
                <w:rFonts w:ascii="Calibri" w:hAnsi="Calibri" w:cs="Calibri"/>
                <w:sz w:val="22"/>
                <w:szCs w:val="22"/>
              </w:rPr>
              <w:t xml:space="preserve"> e-safety when doing so. </w:t>
            </w:r>
          </w:p>
          <w:p w14:paraId="7E54EE7F" w14:textId="77777777" w:rsidR="00FF0E89" w:rsidRPr="00ED2616" w:rsidRDefault="00FF0E89" w:rsidP="00FF0E89">
            <w:pPr>
              <w:pStyle w:val="Default"/>
              <w:rPr>
                <w:rFonts w:ascii="Calibri" w:hAnsi="Calibri" w:cs="Calibri"/>
                <w:sz w:val="22"/>
                <w:szCs w:val="22"/>
              </w:rPr>
            </w:pPr>
          </w:p>
        </w:tc>
        <w:tc>
          <w:tcPr>
            <w:tcW w:w="2324" w:type="dxa"/>
          </w:tcPr>
          <w:p w14:paraId="1B4E87EF"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FF0E89" w:rsidRPr="00ED2616" w14:paraId="671D657E" w14:textId="77777777" w:rsidTr="00262DD5">
        <w:trPr>
          <w:trHeight w:val="429"/>
        </w:trPr>
        <w:tc>
          <w:tcPr>
            <w:tcW w:w="1809" w:type="dxa"/>
          </w:tcPr>
          <w:p w14:paraId="52DCCC0F"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lastRenderedPageBreak/>
              <w:t xml:space="preserve">Infrastructure </w:t>
            </w:r>
          </w:p>
        </w:tc>
        <w:tc>
          <w:tcPr>
            <w:tcW w:w="5812" w:type="dxa"/>
          </w:tcPr>
          <w:p w14:paraId="7B8D2F24"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Awareness of the optimum deployment of resources targeted to raise pupil attainment. Understands the significance of physical facilities and digital processes in an educational setting, e.g. facilities repair logs, student data analysis, data security and safe use of social media. Has knowledge of relevant legislation that schools must comply with, such as Health &amp; Safety, Freedom of Information, Employment and Data Protection policies. </w:t>
            </w:r>
          </w:p>
          <w:p w14:paraId="72567428" w14:textId="77777777" w:rsidR="00FF0E89" w:rsidRPr="00ED2616" w:rsidRDefault="00FF0E89" w:rsidP="00FF0E89">
            <w:pPr>
              <w:pStyle w:val="Default"/>
              <w:rPr>
                <w:rFonts w:ascii="Calibri" w:hAnsi="Calibri" w:cs="Calibri"/>
                <w:sz w:val="22"/>
                <w:szCs w:val="22"/>
              </w:rPr>
            </w:pPr>
          </w:p>
        </w:tc>
        <w:tc>
          <w:tcPr>
            <w:tcW w:w="2324" w:type="dxa"/>
          </w:tcPr>
          <w:p w14:paraId="79B31AF0"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FF0E89" w:rsidRPr="00ED2616" w14:paraId="630F6E4A" w14:textId="77777777" w:rsidTr="00262DD5">
        <w:trPr>
          <w:trHeight w:val="429"/>
        </w:trPr>
        <w:tc>
          <w:tcPr>
            <w:tcW w:w="1809" w:type="dxa"/>
          </w:tcPr>
          <w:p w14:paraId="6DCB79CC"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Ethical Standards </w:t>
            </w:r>
          </w:p>
        </w:tc>
        <w:tc>
          <w:tcPr>
            <w:tcW w:w="5812" w:type="dxa"/>
          </w:tcPr>
          <w:p w14:paraId="320C7DF2"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Understands and demonstrates the highest standards of personal and professional conduct. Understands, and applies, statutory regulations and provisions. </w:t>
            </w:r>
          </w:p>
        </w:tc>
        <w:tc>
          <w:tcPr>
            <w:tcW w:w="2324" w:type="dxa"/>
          </w:tcPr>
          <w:p w14:paraId="24488A0D"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p w14:paraId="0DE4E619" w14:textId="77777777" w:rsidR="00FF0E89" w:rsidRPr="00ED2616" w:rsidRDefault="00FF0E89" w:rsidP="00FF0E89">
            <w:pPr>
              <w:pStyle w:val="Default"/>
              <w:rPr>
                <w:rFonts w:ascii="Calibri" w:hAnsi="Calibri" w:cs="Calibri"/>
                <w:sz w:val="22"/>
                <w:szCs w:val="22"/>
              </w:rPr>
            </w:pPr>
            <w:r w:rsidRPr="00ED2616">
              <w:rPr>
                <w:rFonts w:ascii="Calibri" w:hAnsi="Calibri" w:cs="Calibri"/>
                <w:sz w:val="22"/>
                <w:szCs w:val="22"/>
              </w:rPr>
              <w:t xml:space="preserve">Simulated task </w:t>
            </w:r>
          </w:p>
          <w:p w14:paraId="215C0A9A" w14:textId="77777777" w:rsidR="00FF0E89" w:rsidRPr="00ED2616" w:rsidRDefault="00FF0E89" w:rsidP="00FF0E89">
            <w:pPr>
              <w:pStyle w:val="Default"/>
              <w:rPr>
                <w:rFonts w:ascii="Calibri" w:hAnsi="Calibri" w:cs="Calibri"/>
                <w:sz w:val="22"/>
                <w:szCs w:val="22"/>
              </w:rPr>
            </w:pPr>
          </w:p>
        </w:tc>
      </w:tr>
    </w:tbl>
    <w:p w14:paraId="6206FD80" w14:textId="77777777" w:rsidR="00B02F03" w:rsidRPr="00ED2616" w:rsidRDefault="00B02F03" w:rsidP="00BB63A2">
      <w:pPr>
        <w:pStyle w:val="Heading1"/>
        <w:spacing w:before="0"/>
        <w:rPr>
          <w:rFonts w:cs="Calibri"/>
          <w:b w:val="0"/>
          <w:sz w:val="22"/>
          <w:szCs w:val="22"/>
        </w:rPr>
      </w:pPr>
    </w:p>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812"/>
        <w:gridCol w:w="2336"/>
      </w:tblGrid>
      <w:tr w:rsidR="007600DB" w14:paraId="596ADAE8" w14:textId="77777777" w:rsidTr="00ED2616">
        <w:trPr>
          <w:trHeight w:val="356"/>
        </w:trPr>
        <w:tc>
          <w:tcPr>
            <w:tcW w:w="1809" w:type="dxa"/>
            <w:shd w:val="clear" w:color="auto" w:fill="D9D9D9"/>
          </w:tcPr>
          <w:p w14:paraId="4137F190" w14:textId="77777777" w:rsidR="007600DB" w:rsidRPr="00ED2616" w:rsidRDefault="007600DB">
            <w:pPr>
              <w:pStyle w:val="Default"/>
              <w:rPr>
                <w:rFonts w:ascii="Calibri" w:hAnsi="Calibri" w:cs="Calibri"/>
                <w:sz w:val="22"/>
                <w:szCs w:val="22"/>
              </w:rPr>
            </w:pPr>
            <w:r w:rsidRPr="00ED2616">
              <w:rPr>
                <w:rFonts w:ascii="Calibri" w:hAnsi="Calibri" w:cs="Calibri"/>
                <w:b/>
                <w:bCs/>
                <w:sz w:val="22"/>
                <w:szCs w:val="22"/>
              </w:rPr>
              <w:t xml:space="preserve">Skills </w:t>
            </w:r>
          </w:p>
        </w:tc>
        <w:tc>
          <w:tcPr>
            <w:tcW w:w="5812" w:type="dxa"/>
            <w:shd w:val="clear" w:color="auto" w:fill="D9D9D9"/>
          </w:tcPr>
          <w:p w14:paraId="1A3B07E4" w14:textId="77777777" w:rsidR="007600DB" w:rsidRPr="00ED2616" w:rsidRDefault="007600DB">
            <w:pPr>
              <w:pStyle w:val="Default"/>
              <w:rPr>
                <w:rFonts w:ascii="Calibri" w:hAnsi="Calibri" w:cs="Calibri"/>
                <w:sz w:val="22"/>
                <w:szCs w:val="22"/>
              </w:rPr>
            </w:pPr>
            <w:r w:rsidRPr="00ED2616">
              <w:rPr>
                <w:rFonts w:ascii="Calibri" w:hAnsi="Calibri" w:cs="Calibri"/>
                <w:b/>
                <w:bCs/>
                <w:sz w:val="22"/>
                <w:szCs w:val="22"/>
              </w:rPr>
              <w:t xml:space="preserve">What is required for occupational competence </w:t>
            </w:r>
          </w:p>
        </w:tc>
        <w:tc>
          <w:tcPr>
            <w:tcW w:w="2336" w:type="dxa"/>
            <w:shd w:val="clear" w:color="auto" w:fill="D9D9D9"/>
          </w:tcPr>
          <w:p w14:paraId="65AA82DA" w14:textId="77777777" w:rsidR="007600DB" w:rsidRPr="00ED2616" w:rsidRDefault="007600DB">
            <w:pPr>
              <w:pStyle w:val="Default"/>
              <w:rPr>
                <w:rFonts w:ascii="Calibri" w:hAnsi="Calibri" w:cs="Calibri"/>
                <w:sz w:val="22"/>
                <w:szCs w:val="22"/>
              </w:rPr>
            </w:pPr>
            <w:r w:rsidRPr="00ED2616">
              <w:rPr>
                <w:rFonts w:ascii="Calibri" w:hAnsi="Calibri" w:cs="Calibri"/>
                <w:b/>
                <w:bCs/>
                <w:sz w:val="22"/>
                <w:szCs w:val="22"/>
              </w:rPr>
              <w:t xml:space="preserve">Assessment Method </w:t>
            </w:r>
          </w:p>
        </w:tc>
      </w:tr>
      <w:tr w:rsidR="007600DB" w14:paraId="5A281AD3" w14:textId="77777777" w:rsidTr="00FF0E89">
        <w:trPr>
          <w:trHeight w:val="1382"/>
        </w:trPr>
        <w:tc>
          <w:tcPr>
            <w:tcW w:w="1809" w:type="dxa"/>
          </w:tcPr>
          <w:p w14:paraId="735CDDD4"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Financial and Operational Management </w:t>
            </w:r>
          </w:p>
        </w:tc>
        <w:tc>
          <w:tcPr>
            <w:tcW w:w="5812" w:type="dxa"/>
          </w:tcPr>
          <w:p w14:paraId="4CB70F44"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Manages strategies set by senior personnel and drafts budgets that reflect them. </w:t>
            </w:r>
          </w:p>
          <w:p w14:paraId="25D18A48"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Manages the accurate recording and reporting of the school’s finances in order to inform the senior leadership team who set the priorities for school spending. </w:t>
            </w:r>
          </w:p>
          <w:p w14:paraId="72B2B92E"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Completes pre-audit checks. </w:t>
            </w:r>
          </w:p>
          <w:p w14:paraId="4D770F6C"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Produces reports that present information and data, using a range of interpretation and analytical processes.</w:t>
            </w:r>
          </w:p>
          <w:p w14:paraId="6B9789DC" w14:textId="77777777" w:rsidR="00FF0E89" w:rsidRPr="00ED2616" w:rsidRDefault="00FF0E89">
            <w:pPr>
              <w:pStyle w:val="Default"/>
              <w:rPr>
                <w:rFonts w:ascii="Calibri" w:hAnsi="Calibri" w:cs="Calibri"/>
                <w:sz w:val="22"/>
                <w:szCs w:val="22"/>
              </w:rPr>
            </w:pPr>
          </w:p>
        </w:tc>
        <w:tc>
          <w:tcPr>
            <w:tcW w:w="2336" w:type="dxa"/>
          </w:tcPr>
          <w:p w14:paraId="2F909EC8"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7600DB" w14:paraId="518C5F5A" w14:textId="77777777" w:rsidTr="00FF0E89">
        <w:trPr>
          <w:trHeight w:val="1382"/>
        </w:trPr>
        <w:tc>
          <w:tcPr>
            <w:tcW w:w="1809" w:type="dxa"/>
          </w:tcPr>
          <w:p w14:paraId="4F99E505"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Project Management </w:t>
            </w:r>
          </w:p>
        </w:tc>
        <w:tc>
          <w:tcPr>
            <w:tcW w:w="5812" w:type="dxa"/>
          </w:tcPr>
          <w:p w14:paraId="5DF3DEE2"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Plans, organises and manages processes either in-house or outsourced to ensure value for money for the school whilst supporting education delivery, e.g. contract management, payroll, building maintenance and small development projects. Uses multiple IT packages and specialised schools MIS (management information systems) platforms. Prepares and collates data for reporting purposes. </w:t>
            </w:r>
          </w:p>
          <w:p w14:paraId="6FBA7DC8" w14:textId="77777777" w:rsidR="00FF0E89" w:rsidRPr="00ED2616" w:rsidRDefault="00FF0E89" w:rsidP="007600DB">
            <w:pPr>
              <w:pStyle w:val="Default"/>
              <w:rPr>
                <w:rFonts w:ascii="Calibri" w:hAnsi="Calibri" w:cs="Calibri"/>
                <w:sz w:val="22"/>
                <w:szCs w:val="22"/>
              </w:rPr>
            </w:pPr>
          </w:p>
        </w:tc>
        <w:tc>
          <w:tcPr>
            <w:tcW w:w="2336" w:type="dxa"/>
          </w:tcPr>
          <w:p w14:paraId="60786142"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p w14:paraId="053807B5"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Simulated task </w:t>
            </w:r>
          </w:p>
        </w:tc>
      </w:tr>
      <w:tr w:rsidR="007600DB" w14:paraId="7E239866" w14:textId="77777777" w:rsidTr="00FF0E89">
        <w:trPr>
          <w:trHeight w:val="1014"/>
        </w:trPr>
        <w:tc>
          <w:tcPr>
            <w:tcW w:w="1809" w:type="dxa"/>
          </w:tcPr>
          <w:p w14:paraId="1132ED2B"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Change Management </w:t>
            </w:r>
          </w:p>
        </w:tc>
        <w:tc>
          <w:tcPr>
            <w:tcW w:w="5812" w:type="dxa"/>
          </w:tcPr>
          <w:p w14:paraId="69C14C8E"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Embraces change in a school and influence others in a positive manner. Works constructively within a team environment. </w:t>
            </w:r>
          </w:p>
        </w:tc>
        <w:tc>
          <w:tcPr>
            <w:tcW w:w="2336" w:type="dxa"/>
          </w:tcPr>
          <w:p w14:paraId="37A2DDCB"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7600DB" w14:paraId="7F53007E" w14:textId="77777777" w:rsidTr="00FF0E89">
        <w:trPr>
          <w:trHeight w:val="1382"/>
        </w:trPr>
        <w:tc>
          <w:tcPr>
            <w:tcW w:w="1809" w:type="dxa"/>
          </w:tcPr>
          <w:p w14:paraId="369A7139"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Communication and Relationship Building </w:t>
            </w:r>
          </w:p>
        </w:tc>
        <w:tc>
          <w:tcPr>
            <w:tcW w:w="5812" w:type="dxa"/>
          </w:tcPr>
          <w:p w14:paraId="5DF66E66"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Communicates appropriately and effectively with a range of stakeholders including students, parents, governors/trustees, staff, government and local government departments, e.g. DfE/ ESFA, to gain positive outcomes. Has the confidence to question or seek clarification of aspects of school practice when unsure or </w:t>
            </w:r>
            <w:proofErr w:type="gramStart"/>
            <w:r w:rsidRPr="00ED2616">
              <w:rPr>
                <w:rFonts w:ascii="Calibri" w:hAnsi="Calibri" w:cs="Calibri"/>
                <w:sz w:val="22"/>
                <w:szCs w:val="22"/>
              </w:rPr>
              <w:t>unclear.</w:t>
            </w:r>
            <w:proofErr w:type="gramEnd"/>
            <w:r w:rsidRPr="00ED2616">
              <w:rPr>
                <w:rFonts w:ascii="Calibri" w:hAnsi="Calibri" w:cs="Calibri"/>
                <w:sz w:val="22"/>
                <w:szCs w:val="22"/>
              </w:rPr>
              <w:t xml:space="preserve"> </w:t>
            </w:r>
          </w:p>
          <w:p w14:paraId="51F61EF6" w14:textId="77777777" w:rsidR="00FF0E89" w:rsidRPr="00ED2616" w:rsidRDefault="00FF0E89" w:rsidP="007600DB">
            <w:pPr>
              <w:pStyle w:val="Default"/>
              <w:rPr>
                <w:rFonts w:ascii="Calibri" w:hAnsi="Calibri" w:cs="Calibri"/>
                <w:sz w:val="22"/>
                <w:szCs w:val="22"/>
              </w:rPr>
            </w:pPr>
          </w:p>
        </w:tc>
        <w:tc>
          <w:tcPr>
            <w:tcW w:w="2336" w:type="dxa"/>
          </w:tcPr>
          <w:p w14:paraId="6A0EB063"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p w14:paraId="5091AAD1"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Simulated task </w:t>
            </w:r>
          </w:p>
        </w:tc>
      </w:tr>
      <w:tr w:rsidR="007600DB" w14:paraId="64449A1C" w14:textId="77777777" w:rsidTr="00FF0E89">
        <w:trPr>
          <w:trHeight w:val="1382"/>
        </w:trPr>
        <w:tc>
          <w:tcPr>
            <w:tcW w:w="1809" w:type="dxa"/>
          </w:tcPr>
          <w:p w14:paraId="2E46E98B"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Strategic Management </w:t>
            </w:r>
          </w:p>
        </w:tc>
        <w:tc>
          <w:tcPr>
            <w:tcW w:w="5812" w:type="dxa"/>
          </w:tcPr>
          <w:p w14:paraId="717A586D"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Manages support services across an entire school whilst also providing guidance to colleagues on the most appropriate use of school funding. Effectively line manages small teams to drive efficiencies. </w:t>
            </w:r>
          </w:p>
        </w:tc>
        <w:tc>
          <w:tcPr>
            <w:tcW w:w="2336" w:type="dxa"/>
          </w:tcPr>
          <w:p w14:paraId="7D9F531E" w14:textId="77777777" w:rsidR="007600DB" w:rsidRPr="00ED2616" w:rsidRDefault="007600DB" w:rsidP="007600DB">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bl>
    <w:p w14:paraId="36D919E3" w14:textId="77777777" w:rsidR="007600DB" w:rsidRDefault="007600DB" w:rsidP="007600DB"/>
    <w:p w14:paraId="41C2DAA7" w14:textId="77777777" w:rsidR="00FF0E89" w:rsidRDefault="00FF0E89" w:rsidP="007600DB"/>
    <w:tbl>
      <w:tblPr>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5812"/>
        <w:gridCol w:w="2336"/>
      </w:tblGrid>
      <w:tr w:rsidR="007600DB" w:rsidRPr="00ED2616" w14:paraId="1C6C8AFB" w14:textId="77777777" w:rsidTr="00ED2616">
        <w:trPr>
          <w:trHeight w:val="355"/>
        </w:trPr>
        <w:tc>
          <w:tcPr>
            <w:tcW w:w="1809" w:type="dxa"/>
            <w:shd w:val="clear" w:color="auto" w:fill="D9D9D9"/>
          </w:tcPr>
          <w:p w14:paraId="6B4B138E" w14:textId="77777777" w:rsidR="007600DB" w:rsidRPr="00ED2616" w:rsidRDefault="007600DB">
            <w:pPr>
              <w:pStyle w:val="Default"/>
              <w:rPr>
                <w:rFonts w:ascii="Calibri" w:hAnsi="Calibri" w:cs="Calibri"/>
                <w:sz w:val="22"/>
                <w:szCs w:val="22"/>
              </w:rPr>
            </w:pPr>
            <w:r w:rsidRPr="00ED2616">
              <w:rPr>
                <w:rFonts w:ascii="Calibri" w:hAnsi="Calibri" w:cs="Calibri"/>
                <w:b/>
                <w:bCs/>
                <w:sz w:val="22"/>
                <w:szCs w:val="22"/>
              </w:rPr>
              <w:lastRenderedPageBreak/>
              <w:t xml:space="preserve">Behaviours </w:t>
            </w:r>
          </w:p>
        </w:tc>
        <w:tc>
          <w:tcPr>
            <w:tcW w:w="5812" w:type="dxa"/>
            <w:shd w:val="clear" w:color="auto" w:fill="D9D9D9"/>
          </w:tcPr>
          <w:p w14:paraId="3A3A1517" w14:textId="77777777" w:rsidR="007600DB" w:rsidRPr="00ED2616" w:rsidRDefault="007600DB">
            <w:pPr>
              <w:pStyle w:val="Default"/>
              <w:rPr>
                <w:rFonts w:ascii="Calibri" w:hAnsi="Calibri" w:cs="Calibri"/>
                <w:sz w:val="22"/>
                <w:szCs w:val="22"/>
              </w:rPr>
            </w:pPr>
            <w:r w:rsidRPr="00ED2616">
              <w:rPr>
                <w:rFonts w:ascii="Calibri" w:hAnsi="Calibri" w:cs="Calibri"/>
                <w:b/>
                <w:bCs/>
                <w:sz w:val="22"/>
                <w:szCs w:val="22"/>
              </w:rPr>
              <w:t xml:space="preserve">What is required for occupational competence </w:t>
            </w:r>
          </w:p>
        </w:tc>
        <w:tc>
          <w:tcPr>
            <w:tcW w:w="2336" w:type="dxa"/>
            <w:shd w:val="clear" w:color="auto" w:fill="D9D9D9"/>
          </w:tcPr>
          <w:p w14:paraId="6147D969" w14:textId="77777777" w:rsidR="007600DB" w:rsidRPr="00ED2616" w:rsidRDefault="007600DB">
            <w:pPr>
              <w:pStyle w:val="Default"/>
              <w:rPr>
                <w:rFonts w:ascii="Calibri" w:hAnsi="Calibri" w:cs="Calibri"/>
                <w:sz w:val="22"/>
                <w:szCs w:val="22"/>
              </w:rPr>
            </w:pPr>
            <w:r w:rsidRPr="00ED2616">
              <w:rPr>
                <w:rFonts w:ascii="Calibri" w:hAnsi="Calibri" w:cs="Calibri"/>
                <w:b/>
                <w:bCs/>
                <w:sz w:val="22"/>
                <w:szCs w:val="22"/>
              </w:rPr>
              <w:t xml:space="preserve">Assessment Method </w:t>
            </w:r>
          </w:p>
        </w:tc>
      </w:tr>
      <w:tr w:rsidR="007600DB" w:rsidRPr="00ED2616" w14:paraId="4225A95A" w14:textId="77777777" w:rsidTr="00FF0E89">
        <w:trPr>
          <w:trHeight w:val="613"/>
        </w:trPr>
        <w:tc>
          <w:tcPr>
            <w:tcW w:w="1809" w:type="dxa"/>
          </w:tcPr>
          <w:p w14:paraId="0B1C8000"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Change Catalyst </w:t>
            </w:r>
          </w:p>
        </w:tc>
        <w:tc>
          <w:tcPr>
            <w:tcW w:w="5812" w:type="dxa"/>
          </w:tcPr>
          <w:p w14:paraId="5F67380B"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Keeps up to date with educational policy developments and embraces change. Self-motivated and supportive of others in working through change. </w:t>
            </w:r>
          </w:p>
          <w:p w14:paraId="15DDF91B" w14:textId="77777777" w:rsidR="00FF0E89" w:rsidRPr="00ED2616" w:rsidRDefault="00FF0E89">
            <w:pPr>
              <w:pStyle w:val="Default"/>
              <w:rPr>
                <w:rFonts w:ascii="Calibri" w:hAnsi="Calibri" w:cs="Calibri"/>
                <w:sz w:val="22"/>
                <w:szCs w:val="22"/>
              </w:rPr>
            </w:pPr>
          </w:p>
        </w:tc>
        <w:tc>
          <w:tcPr>
            <w:tcW w:w="2336" w:type="dxa"/>
          </w:tcPr>
          <w:p w14:paraId="7FAA44FD"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tc>
      </w:tr>
      <w:tr w:rsidR="007600DB" w:rsidRPr="00ED2616" w14:paraId="018EAD31" w14:textId="77777777" w:rsidTr="00FF0E89">
        <w:trPr>
          <w:trHeight w:val="454"/>
        </w:trPr>
        <w:tc>
          <w:tcPr>
            <w:tcW w:w="1809" w:type="dxa"/>
          </w:tcPr>
          <w:p w14:paraId="39DEBCE2"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Decision Maker </w:t>
            </w:r>
          </w:p>
        </w:tc>
        <w:tc>
          <w:tcPr>
            <w:tcW w:w="5812" w:type="dxa"/>
          </w:tcPr>
          <w:p w14:paraId="3101061D"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Demonstrates a confident approach to decision-making and prioritisation, thus gaining the confidence of others. </w:t>
            </w:r>
          </w:p>
          <w:p w14:paraId="0F54627A" w14:textId="77777777" w:rsidR="00FF0E89" w:rsidRPr="00ED2616" w:rsidRDefault="00FF0E89">
            <w:pPr>
              <w:pStyle w:val="Default"/>
              <w:rPr>
                <w:rFonts w:ascii="Calibri" w:hAnsi="Calibri" w:cs="Calibri"/>
                <w:sz w:val="22"/>
                <w:szCs w:val="22"/>
              </w:rPr>
            </w:pPr>
          </w:p>
        </w:tc>
        <w:tc>
          <w:tcPr>
            <w:tcW w:w="2336" w:type="dxa"/>
          </w:tcPr>
          <w:p w14:paraId="335290ED"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Simulated task </w:t>
            </w:r>
          </w:p>
        </w:tc>
      </w:tr>
      <w:tr w:rsidR="007600DB" w:rsidRPr="00ED2616" w14:paraId="5365E866" w14:textId="77777777" w:rsidTr="00FF0E89">
        <w:trPr>
          <w:trHeight w:val="454"/>
        </w:trPr>
        <w:tc>
          <w:tcPr>
            <w:tcW w:w="1809" w:type="dxa"/>
          </w:tcPr>
          <w:p w14:paraId="5996E327"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Skilled Negotiator </w:t>
            </w:r>
          </w:p>
        </w:tc>
        <w:tc>
          <w:tcPr>
            <w:tcW w:w="5812" w:type="dxa"/>
          </w:tcPr>
          <w:p w14:paraId="0C952B69"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Open, approachable and </w:t>
            </w:r>
            <w:proofErr w:type="gramStart"/>
            <w:r w:rsidRPr="00ED2616">
              <w:rPr>
                <w:rFonts w:ascii="Calibri" w:hAnsi="Calibri" w:cs="Calibri"/>
                <w:sz w:val="22"/>
                <w:szCs w:val="22"/>
              </w:rPr>
              <w:t>is able to</w:t>
            </w:r>
            <w:proofErr w:type="gramEnd"/>
            <w:r w:rsidRPr="00ED2616">
              <w:rPr>
                <w:rFonts w:ascii="Calibri" w:hAnsi="Calibri" w:cs="Calibri"/>
                <w:sz w:val="22"/>
                <w:szCs w:val="22"/>
              </w:rPr>
              <w:t xml:space="preserve"> build trust with others. Consults and seeks the views of others and values diversity both within and outside the school. </w:t>
            </w:r>
          </w:p>
        </w:tc>
        <w:tc>
          <w:tcPr>
            <w:tcW w:w="2336" w:type="dxa"/>
          </w:tcPr>
          <w:p w14:paraId="51AF0AB9"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Project report &amp; presentation, with questions and answers Simulated task</w:t>
            </w:r>
          </w:p>
          <w:p w14:paraId="433B4229" w14:textId="77777777" w:rsidR="00FF0E89" w:rsidRPr="00ED2616" w:rsidRDefault="00FF0E89">
            <w:pPr>
              <w:pStyle w:val="Default"/>
              <w:rPr>
                <w:rFonts w:ascii="Calibri" w:hAnsi="Calibri" w:cs="Calibri"/>
                <w:sz w:val="22"/>
                <w:szCs w:val="22"/>
              </w:rPr>
            </w:pPr>
          </w:p>
        </w:tc>
      </w:tr>
      <w:tr w:rsidR="007600DB" w14:paraId="416E44B7" w14:textId="77777777" w:rsidTr="00FF0E89">
        <w:trPr>
          <w:trHeight w:val="454"/>
        </w:trPr>
        <w:tc>
          <w:tcPr>
            <w:tcW w:w="1809" w:type="dxa"/>
            <w:tcBorders>
              <w:top w:val="single" w:sz="4" w:space="0" w:color="auto"/>
              <w:left w:val="single" w:sz="4" w:space="0" w:color="auto"/>
              <w:bottom w:val="single" w:sz="4" w:space="0" w:color="auto"/>
              <w:right w:val="single" w:sz="4" w:space="0" w:color="auto"/>
            </w:tcBorders>
          </w:tcPr>
          <w:p w14:paraId="0791722A"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Collaborative </w:t>
            </w:r>
          </w:p>
        </w:tc>
        <w:tc>
          <w:tcPr>
            <w:tcW w:w="5812" w:type="dxa"/>
            <w:tcBorders>
              <w:top w:val="single" w:sz="4" w:space="0" w:color="auto"/>
              <w:left w:val="single" w:sz="4" w:space="0" w:color="auto"/>
              <w:bottom w:val="single" w:sz="4" w:space="0" w:color="auto"/>
              <w:right w:val="single" w:sz="4" w:space="0" w:color="auto"/>
            </w:tcBorders>
          </w:tcPr>
          <w:p w14:paraId="71D57851"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Behaves in a collaborative way with other internal and external stakeholders. Promotes a team spirit and actively demonstrates professional competence in all settings and situations. </w:t>
            </w:r>
          </w:p>
          <w:p w14:paraId="2575AB12" w14:textId="77777777" w:rsidR="00FF0E89" w:rsidRPr="00ED2616" w:rsidRDefault="00FF0E89">
            <w:pPr>
              <w:pStyle w:val="Default"/>
              <w:rPr>
                <w:rFonts w:ascii="Calibri" w:hAnsi="Calibri" w:cs="Calibri"/>
                <w:sz w:val="22"/>
                <w:szCs w:val="22"/>
              </w:rPr>
            </w:pPr>
          </w:p>
        </w:tc>
        <w:tc>
          <w:tcPr>
            <w:tcW w:w="2336" w:type="dxa"/>
            <w:tcBorders>
              <w:top w:val="single" w:sz="4" w:space="0" w:color="auto"/>
              <w:left w:val="single" w:sz="4" w:space="0" w:color="auto"/>
              <w:bottom w:val="single" w:sz="4" w:space="0" w:color="auto"/>
              <w:right w:val="single" w:sz="4" w:space="0" w:color="auto"/>
            </w:tcBorders>
          </w:tcPr>
          <w:p w14:paraId="2E309DE4"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p w14:paraId="1A261131" w14:textId="77777777" w:rsidR="007600DB" w:rsidRPr="00ED2616" w:rsidRDefault="007600DB">
            <w:pPr>
              <w:pStyle w:val="Default"/>
              <w:rPr>
                <w:rFonts w:ascii="Calibri" w:hAnsi="Calibri" w:cs="Calibri"/>
                <w:sz w:val="22"/>
                <w:szCs w:val="22"/>
              </w:rPr>
            </w:pPr>
            <w:r w:rsidRPr="00ED2616">
              <w:rPr>
                <w:rFonts w:ascii="Calibri" w:hAnsi="Calibri" w:cs="Calibri"/>
                <w:sz w:val="22"/>
                <w:szCs w:val="22"/>
              </w:rPr>
              <w:t xml:space="preserve">Simulated task </w:t>
            </w:r>
          </w:p>
        </w:tc>
      </w:tr>
      <w:tr w:rsidR="00FF0E89" w14:paraId="1A34A49A" w14:textId="77777777" w:rsidTr="00FF0E89">
        <w:trPr>
          <w:trHeight w:val="454"/>
        </w:trPr>
        <w:tc>
          <w:tcPr>
            <w:tcW w:w="1809" w:type="dxa"/>
            <w:tcBorders>
              <w:top w:val="single" w:sz="4" w:space="0" w:color="auto"/>
              <w:left w:val="single" w:sz="4" w:space="0" w:color="auto"/>
              <w:bottom w:val="single" w:sz="4" w:space="0" w:color="auto"/>
              <w:right w:val="single" w:sz="4" w:space="0" w:color="auto"/>
            </w:tcBorders>
          </w:tcPr>
          <w:p w14:paraId="3E4EF7FF" w14:textId="77777777" w:rsidR="00262DD5" w:rsidRPr="00ED2616" w:rsidRDefault="00262DD5">
            <w:pPr>
              <w:pStyle w:val="Default"/>
              <w:rPr>
                <w:rFonts w:ascii="Calibri" w:hAnsi="Calibri" w:cs="Calibri"/>
                <w:sz w:val="22"/>
                <w:szCs w:val="22"/>
              </w:rPr>
            </w:pPr>
            <w:r w:rsidRPr="00ED2616">
              <w:rPr>
                <w:rFonts w:ascii="Calibri" w:hAnsi="Calibri" w:cs="Calibri"/>
                <w:sz w:val="22"/>
                <w:szCs w:val="22"/>
              </w:rPr>
              <w:t xml:space="preserve">Resilient </w:t>
            </w:r>
          </w:p>
        </w:tc>
        <w:tc>
          <w:tcPr>
            <w:tcW w:w="5812" w:type="dxa"/>
            <w:tcBorders>
              <w:top w:val="single" w:sz="4" w:space="0" w:color="auto"/>
              <w:left w:val="single" w:sz="4" w:space="0" w:color="auto"/>
              <w:bottom w:val="single" w:sz="4" w:space="0" w:color="auto"/>
              <w:right w:val="single" w:sz="4" w:space="0" w:color="auto"/>
            </w:tcBorders>
          </w:tcPr>
          <w:p w14:paraId="768CD178" w14:textId="77777777" w:rsidR="00262DD5" w:rsidRPr="00ED2616" w:rsidRDefault="00262DD5">
            <w:pPr>
              <w:pStyle w:val="Default"/>
              <w:rPr>
                <w:rFonts w:ascii="Calibri" w:hAnsi="Calibri" w:cs="Calibri"/>
                <w:sz w:val="22"/>
                <w:szCs w:val="22"/>
              </w:rPr>
            </w:pPr>
            <w:r w:rsidRPr="00ED2616">
              <w:rPr>
                <w:rFonts w:ascii="Calibri" w:hAnsi="Calibri" w:cs="Calibri"/>
                <w:sz w:val="22"/>
                <w:szCs w:val="22"/>
              </w:rPr>
              <w:t xml:space="preserve">Has the ability to adapt to different, changing and challenging situations whilst promoting the highest professional standards. </w:t>
            </w:r>
          </w:p>
        </w:tc>
        <w:tc>
          <w:tcPr>
            <w:tcW w:w="2336" w:type="dxa"/>
            <w:tcBorders>
              <w:top w:val="single" w:sz="4" w:space="0" w:color="auto"/>
              <w:left w:val="single" w:sz="4" w:space="0" w:color="auto"/>
              <w:bottom w:val="single" w:sz="4" w:space="0" w:color="auto"/>
              <w:right w:val="single" w:sz="4" w:space="0" w:color="auto"/>
            </w:tcBorders>
          </w:tcPr>
          <w:p w14:paraId="134CCEA6" w14:textId="77777777" w:rsidR="00262DD5" w:rsidRPr="00ED2616" w:rsidRDefault="00262DD5">
            <w:pPr>
              <w:pStyle w:val="Default"/>
              <w:rPr>
                <w:rFonts w:ascii="Calibri" w:hAnsi="Calibri" w:cs="Calibri"/>
                <w:sz w:val="22"/>
                <w:szCs w:val="22"/>
              </w:rPr>
            </w:pPr>
            <w:r w:rsidRPr="00ED2616">
              <w:rPr>
                <w:rFonts w:ascii="Calibri" w:hAnsi="Calibri" w:cs="Calibri"/>
                <w:sz w:val="22"/>
                <w:szCs w:val="22"/>
              </w:rPr>
              <w:t xml:space="preserve">Project report &amp; presentation, with questions and answers </w:t>
            </w:r>
          </w:p>
          <w:p w14:paraId="04A07912" w14:textId="77777777" w:rsidR="00262DD5" w:rsidRPr="00ED2616" w:rsidRDefault="00262DD5">
            <w:pPr>
              <w:pStyle w:val="Default"/>
              <w:rPr>
                <w:rFonts w:ascii="Calibri" w:hAnsi="Calibri" w:cs="Calibri"/>
                <w:sz w:val="22"/>
                <w:szCs w:val="22"/>
              </w:rPr>
            </w:pPr>
            <w:r w:rsidRPr="00ED2616">
              <w:rPr>
                <w:rFonts w:ascii="Calibri" w:hAnsi="Calibri" w:cs="Calibri"/>
                <w:sz w:val="22"/>
                <w:szCs w:val="22"/>
              </w:rPr>
              <w:t xml:space="preserve">Simulated task </w:t>
            </w:r>
          </w:p>
          <w:p w14:paraId="1B5154F3" w14:textId="77777777" w:rsidR="00FF0E89" w:rsidRPr="00ED2616" w:rsidRDefault="00FF0E89">
            <w:pPr>
              <w:pStyle w:val="Default"/>
              <w:rPr>
                <w:rFonts w:ascii="Calibri" w:hAnsi="Calibri" w:cs="Calibri"/>
                <w:sz w:val="22"/>
                <w:szCs w:val="22"/>
              </w:rPr>
            </w:pPr>
          </w:p>
        </w:tc>
      </w:tr>
    </w:tbl>
    <w:p w14:paraId="709B75DE" w14:textId="77777777" w:rsidR="007600DB" w:rsidRPr="007600DB" w:rsidRDefault="007600DB" w:rsidP="007600DB"/>
    <w:sectPr w:rsidR="007600DB" w:rsidRPr="007600DB" w:rsidSect="00424008">
      <w:headerReference w:type="default" r:id="rId14"/>
      <w:footerReference w:type="default" r:id="rId15"/>
      <w:pgSz w:w="11906" w:h="16838"/>
      <w:pgMar w:top="1134" w:right="1134" w:bottom="1103" w:left="1133" w:header="709" w:footer="15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85FF6" w14:textId="77777777" w:rsidR="00785D1B" w:rsidRDefault="00785D1B">
      <w:r>
        <w:separator/>
      </w:r>
    </w:p>
  </w:endnote>
  <w:endnote w:type="continuationSeparator" w:id="0">
    <w:p w14:paraId="46377DCB" w14:textId="77777777" w:rsidR="00785D1B" w:rsidRDefault="0078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AB928" w14:textId="77777777" w:rsidR="000543ED" w:rsidRPr="000543ED" w:rsidRDefault="000543ED" w:rsidP="007471AE">
    <w:pPr>
      <w:pStyle w:val="Footer"/>
      <w:tabs>
        <w:tab w:val="clear" w:pos="8306"/>
        <w:tab w:val="right" w:pos="8820"/>
      </w:tabs>
      <w:spacing w:after="0"/>
      <w:rPr>
        <w:rStyle w:val="PageNumber"/>
        <w:color w:val="717171"/>
        <w:szCs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083C1" w14:textId="72DC9583" w:rsidR="00A452B6" w:rsidRPr="00E16F1C" w:rsidRDefault="0044006C" w:rsidP="006C160C">
    <w:pPr>
      <w:pStyle w:val="Footer"/>
      <w:tabs>
        <w:tab w:val="clear" w:pos="4153"/>
        <w:tab w:val="clear" w:pos="8306"/>
        <w:tab w:val="right" w:pos="9639"/>
      </w:tabs>
      <w:spacing w:after="0"/>
      <w:rPr>
        <w:rStyle w:val="PageNumber"/>
        <w:b/>
        <w:color w:val="717171"/>
        <w:szCs w:val="12"/>
      </w:rPr>
    </w:pPr>
    <w:r>
      <w:rPr>
        <w:noProof/>
      </w:rPr>
      <w:drawing>
        <wp:anchor distT="0" distB="0" distL="114300" distR="114300" simplePos="0" relativeHeight="251657728" behindDoc="0" locked="0" layoutInCell="1" allowOverlap="1" wp14:anchorId="3D574E20" wp14:editId="473FBA58">
          <wp:simplePos x="0" y="0"/>
          <wp:positionH relativeFrom="column">
            <wp:posOffset>-203200</wp:posOffset>
          </wp:positionH>
          <wp:positionV relativeFrom="paragraph">
            <wp:posOffset>-264160</wp:posOffset>
          </wp:positionV>
          <wp:extent cx="864870" cy="372110"/>
          <wp:effectExtent l="0" t="0" r="0" b="0"/>
          <wp:wrapNone/>
          <wp:docPr id="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72110"/>
                  </a:xfrm>
                  <a:prstGeom prst="rect">
                    <a:avLst/>
                  </a:prstGeom>
                  <a:noFill/>
                </pic:spPr>
              </pic:pic>
            </a:graphicData>
          </a:graphic>
          <wp14:sizeRelH relativeFrom="page">
            <wp14:pctWidth>0</wp14:pctWidth>
          </wp14:sizeRelH>
          <wp14:sizeRelV relativeFrom="page">
            <wp14:pctHeight>0</wp14:pctHeight>
          </wp14:sizeRelV>
        </wp:anchor>
      </w:drawing>
    </w:r>
  </w:p>
  <w:p w14:paraId="410B481F" w14:textId="77777777" w:rsidR="00A452B6" w:rsidRPr="000543ED" w:rsidRDefault="00A452B6" w:rsidP="007471AE">
    <w:pPr>
      <w:pStyle w:val="Footer"/>
      <w:tabs>
        <w:tab w:val="clear" w:pos="8306"/>
        <w:tab w:val="right" w:pos="8820"/>
      </w:tabs>
      <w:spacing w:after="0"/>
      <w:rPr>
        <w:rStyle w:val="PageNumber"/>
        <w:color w:val="717171"/>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D77D53" w14:textId="77777777" w:rsidR="00A452B6" w:rsidRDefault="00A452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CDE48" w14:textId="26C0F719" w:rsidR="00AC531E" w:rsidRPr="00A535B2" w:rsidRDefault="0044006C" w:rsidP="00787C21">
    <w:pPr>
      <w:pStyle w:val="Footer"/>
      <w:tabs>
        <w:tab w:val="clear" w:pos="4153"/>
        <w:tab w:val="clear" w:pos="8306"/>
        <w:tab w:val="right" w:pos="14601"/>
      </w:tabs>
      <w:spacing w:after="0"/>
      <w:jc w:val="right"/>
      <w:rPr>
        <w:rStyle w:val="PageNumber"/>
        <w:color w:val="717171"/>
        <w:szCs w:val="12"/>
      </w:rPr>
    </w:pPr>
    <w:r>
      <w:rPr>
        <w:noProof/>
      </w:rPr>
      <w:drawing>
        <wp:anchor distT="0" distB="0" distL="114300" distR="114300" simplePos="0" relativeHeight="251656704" behindDoc="0" locked="0" layoutInCell="1" allowOverlap="1" wp14:anchorId="595D04D4" wp14:editId="7A90F982">
          <wp:simplePos x="0" y="0"/>
          <wp:positionH relativeFrom="column">
            <wp:posOffset>-288925</wp:posOffset>
          </wp:positionH>
          <wp:positionV relativeFrom="paragraph">
            <wp:posOffset>-312420</wp:posOffset>
          </wp:positionV>
          <wp:extent cx="864870" cy="37211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4870" cy="372110"/>
                  </a:xfrm>
                  <a:prstGeom prst="rect">
                    <a:avLst/>
                  </a:prstGeom>
                  <a:noFill/>
                </pic:spPr>
              </pic:pic>
            </a:graphicData>
          </a:graphic>
          <wp14:sizeRelH relativeFrom="page">
            <wp14:pctWidth>0</wp14:pctWidth>
          </wp14:sizeRelH>
          <wp14:sizeRelV relativeFrom="page">
            <wp14:pctHeight>0</wp14:pctHeight>
          </wp14:sizeRelV>
        </wp:anchor>
      </w:drawing>
    </w:r>
  </w:p>
  <w:p w14:paraId="4F486305" w14:textId="77777777" w:rsidR="00AC531E" w:rsidRPr="000543ED" w:rsidRDefault="00AC531E" w:rsidP="007471AE">
    <w:pPr>
      <w:pStyle w:val="Footer"/>
      <w:tabs>
        <w:tab w:val="clear" w:pos="8306"/>
        <w:tab w:val="right" w:pos="8820"/>
      </w:tabs>
      <w:spacing w:after="0"/>
      <w:rPr>
        <w:rStyle w:val="PageNumber"/>
        <w:color w:val="717171"/>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C0950" w14:textId="77777777" w:rsidR="00785D1B" w:rsidRDefault="00785D1B">
      <w:r>
        <w:separator/>
      </w:r>
    </w:p>
  </w:footnote>
  <w:footnote w:type="continuationSeparator" w:id="0">
    <w:p w14:paraId="16AFFB1E" w14:textId="77777777" w:rsidR="00785D1B" w:rsidRDefault="0078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A7B6E" w14:textId="70C6A3B8" w:rsidR="0003280F" w:rsidRDefault="0044006C">
    <w:pPr>
      <w:pStyle w:val="Header"/>
    </w:pPr>
    <w:r>
      <w:rPr>
        <w:noProof/>
      </w:rPr>
      <w:drawing>
        <wp:anchor distT="0" distB="0" distL="114300" distR="114300" simplePos="0" relativeHeight="251658752" behindDoc="1" locked="0" layoutInCell="1" allowOverlap="1" wp14:anchorId="1B23894F" wp14:editId="2245F4A2">
          <wp:simplePos x="0" y="0"/>
          <wp:positionH relativeFrom="column">
            <wp:posOffset>-691515</wp:posOffset>
          </wp:positionH>
          <wp:positionV relativeFrom="paragraph">
            <wp:posOffset>-438150</wp:posOffset>
          </wp:positionV>
          <wp:extent cx="7560310" cy="10688320"/>
          <wp:effectExtent l="0" t="0" r="0" b="0"/>
          <wp:wrapNone/>
          <wp:docPr id="6" name="Picture 6" descr="NASENCO handbook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SENCO handbook cov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68832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42489" w14:textId="77777777" w:rsidR="00A452B6" w:rsidRDefault="00A452B6" w:rsidP="0003280F">
    <w:pPr>
      <w:pStyle w:val="Header"/>
      <w:tabs>
        <w:tab w:val="clear" w:pos="4153"/>
        <w:tab w:val="clear" w:pos="8306"/>
        <w:tab w:val="left" w:pos="804"/>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5AED9" w14:textId="77777777" w:rsidR="00A452B6" w:rsidRDefault="00A452B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39101" w14:textId="77777777" w:rsidR="00AC531E" w:rsidRDefault="00AC53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B5620E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B6246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0AA3BBC"/>
    <w:lvl w:ilvl="0">
      <w:start w:val="1"/>
      <w:numFmt w:val="decimal"/>
      <w:pStyle w:val="ListNumber3"/>
      <w:lvlText w:val="%1."/>
      <w:lvlJc w:val="left"/>
      <w:pPr>
        <w:tabs>
          <w:tab w:val="num" w:pos="1701"/>
        </w:tabs>
        <w:ind w:left="1701" w:hanging="283"/>
      </w:pPr>
      <w:rPr>
        <w:rFonts w:ascii="Calibri" w:hAnsi="Calibri" w:hint="default"/>
        <w:b w:val="0"/>
        <w:i w:val="0"/>
        <w:sz w:val="22"/>
      </w:rPr>
    </w:lvl>
  </w:abstractNum>
  <w:abstractNum w:abstractNumId="3" w15:restartNumberingAfterBreak="0">
    <w:nsid w:val="FFFFFF7F"/>
    <w:multiLevelType w:val="singleLevel"/>
    <w:tmpl w:val="CEA67680"/>
    <w:lvl w:ilvl="0">
      <w:start w:val="1"/>
      <w:numFmt w:val="decimal"/>
      <w:pStyle w:val="ListNumber2"/>
      <w:lvlText w:val="%1."/>
      <w:lvlJc w:val="left"/>
      <w:pPr>
        <w:tabs>
          <w:tab w:val="num" w:pos="1134"/>
        </w:tabs>
        <w:ind w:left="1134" w:hanging="283"/>
      </w:pPr>
      <w:rPr>
        <w:rFonts w:hint="default"/>
      </w:rPr>
    </w:lvl>
  </w:abstractNum>
  <w:abstractNum w:abstractNumId="4" w15:restartNumberingAfterBreak="0">
    <w:nsid w:val="FFFFFF80"/>
    <w:multiLevelType w:val="singleLevel"/>
    <w:tmpl w:val="4F829E72"/>
    <w:lvl w:ilvl="0">
      <w:start w:val="1"/>
      <w:numFmt w:val="bullet"/>
      <w:lvlText w:val=""/>
      <w:lvlJc w:val="left"/>
      <w:pPr>
        <w:tabs>
          <w:tab w:val="num" w:pos="1701"/>
        </w:tabs>
        <w:ind w:left="1701" w:hanging="283"/>
      </w:pPr>
      <w:rPr>
        <w:rFonts w:ascii="Symbol" w:hAnsi="Symbol" w:hint="default"/>
        <w:b w:val="0"/>
        <w:i w:val="0"/>
        <w:sz w:val="18"/>
      </w:rPr>
    </w:lvl>
  </w:abstractNum>
  <w:abstractNum w:abstractNumId="5" w15:restartNumberingAfterBreak="0">
    <w:nsid w:val="FFFFFF81"/>
    <w:multiLevelType w:val="singleLevel"/>
    <w:tmpl w:val="2910C39A"/>
    <w:lvl w:ilvl="0">
      <w:start w:val="1"/>
      <w:numFmt w:val="bullet"/>
      <w:lvlText w:val=""/>
      <w:lvlJc w:val="left"/>
      <w:pPr>
        <w:tabs>
          <w:tab w:val="num" w:pos="1418"/>
        </w:tabs>
        <w:ind w:left="1418" w:hanging="284"/>
      </w:pPr>
      <w:rPr>
        <w:rFonts w:ascii="Symbol" w:hAnsi="Symbol" w:hint="default"/>
        <w:b w:val="0"/>
        <w:i w:val="0"/>
        <w:sz w:val="18"/>
      </w:rPr>
    </w:lvl>
  </w:abstractNum>
  <w:abstractNum w:abstractNumId="6" w15:restartNumberingAfterBreak="0">
    <w:nsid w:val="FFFFFF82"/>
    <w:multiLevelType w:val="singleLevel"/>
    <w:tmpl w:val="D90E7020"/>
    <w:lvl w:ilvl="0">
      <w:start w:val="1"/>
      <w:numFmt w:val="bullet"/>
      <w:pStyle w:val="ListBullet3"/>
      <w:lvlText w:val=""/>
      <w:lvlJc w:val="left"/>
      <w:pPr>
        <w:tabs>
          <w:tab w:val="num" w:pos="1701"/>
        </w:tabs>
        <w:ind w:left="1701" w:hanging="283"/>
      </w:pPr>
      <w:rPr>
        <w:rFonts w:ascii="Symbol" w:hAnsi="Symbol" w:hint="default"/>
        <w:b w:val="0"/>
        <w:i w:val="0"/>
        <w:sz w:val="18"/>
      </w:rPr>
    </w:lvl>
  </w:abstractNum>
  <w:abstractNum w:abstractNumId="7" w15:restartNumberingAfterBreak="0">
    <w:nsid w:val="FFFFFF83"/>
    <w:multiLevelType w:val="singleLevel"/>
    <w:tmpl w:val="448C0686"/>
    <w:lvl w:ilvl="0">
      <w:start w:val="1"/>
      <w:numFmt w:val="bullet"/>
      <w:pStyle w:val="ListBullet2"/>
      <w:lvlText w:val=""/>
      <w:lvlJc w:val="left"/>
      <w:pPr>
        <w:tabs>
          <w:tab w:val="num" w:pos="1134"/>
        </w:tabs>
        <w:ind w:left="1134" w:hanging="283"/>
      </w:pPr>
      <w:rPr>
        <w:rFonts w:ascii="Symbol" w:hAnsi="Symbol" w:hint="default"/>
        <w:b w:val="0"/>
        <w:i w:val="0"/>
        <w:sz w:val="18"/>
      </w:rPr>
    </w:lvl>
  </w:abstractNum>
  <w:abstractNum w:abstractNumId="8" w15:restartNumberingAfterBreak="0">
    <w:nsid w:val="FFFFFF88"/>
    <w:multiLevelType w:val="singleLevel"/>
    <w:tmpl w:val="F78EC5AE"/>
    <w:lvl w:ilvl="0">
      <w:start w:val="1"/>
      <w:numFmt w:val="decimal"/>
      <w:pStyle w:val="ListNumber"/>
      <w:lvlText w:val="%1."/>
      <w:lvlJc w:val="left"/>
      <w:pPr>
        <w:tabs>
          <w:tab w:val="num" w:pos="567"/>
        </w:tabs>
        <w:ind w:left="567" w:hanging="283"/>
      </w:pPr>
      <w:rPr>
        <w:rFonts w:ascii="Calibri" w:hAnsi="Calibri" w:hint="default"/>
        <w:b w:val="0"/>
        <w:i w:val="0"/>
        <w:sz w:val="22"/>
      </w:rPr>
    </w:lvl>
  </w:abstractNum>
  <w:abstractNum w:abstractNumId="9" w15:restartNumberingAfterBreak="0">
    <w:nsid w:val="FFFFFF89"/>
    <w:multiLevelType w:val="singleLevel"/>
    <w:tmpl w:val="E60AB440"/>
    <w:lvl w:ilvl="0">
      <w:start w:val="1"/>
      <w:numFmt w:val="bullet"/>
      <w:pStyle w:val="ListBullet"/>
      <w:lvlText w:val=""/>
      <w:lvlJc w:val="left"/>
      <w:pPr>
        <w:tabs>
          <w:tab w:val="num" w:pos="567"/>
        </w:tabs>
        <w:ind w:left="567" w:hanging="283"/>
      </w:pPr>
      <w:rPr>
        <w:rFonts w:ascii="Symbol" w:hAnsi="Symbol" w:hint="default"/>
        <w:sz w:val="18"/>
      </w:rPr>
    </w:lvl>
  </w:abstractNum>
  <w:abstractNum w:abstractNumId="10" w15:restartNumberingAfterBreak="0">
    <w:nsid w:val="073E7658"/>
    <w:multiLevelType w:val="multilevel"/>
    <w:tmpl w:val="7F0097F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1" w15:restartNumberingAfterBreak="0">
    <w:nsid w:val="0A214757"/>
    <w:multiLevelType w:val="hybridMultilevel"/>
    <w:tmpl w:val="11847CE0"/>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12" w15:restartNumberingAfterBreak="0">
    <w:nsid w:val="0FE03E98"/>
    <w:multiLevelType w:val="hybridMultilevel"/>
    <w:tmpl w:val="F6666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1023323"/>
    <w:multiLevelType w:val="hybridMultilevel"/>
    <w:tmpl w:val="7EC2784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1C40C4B"/>
    <w:multiLevelType w:val="hybridMultilevel"/>
    <w:tmpl w:val="D5E09E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6787F71"/>
    <w:multiLevelType w:val="hybridMultilevel"/>
    <w:tmpl w:val="E59C4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E4ACD"/>
    <w:multiLevelType w:val="hybridMultilevel"/>
    <w:tmpl w:val="154A318E"/>
    <w:lvl w:ilvl="0" w:tplc="D9CAB96A">
      <w:start w:val="1"/>
      <w:numFmt w:val="decimal"/>
      <w:lvlText w:val="%1."/>
      <w:lvlJc w:val="left"/>
      <w:pPr>
        <w:tabs>
          <w:tab w:val="num" w:pos="357"/>
        </w:tabs>
        <w:ind w:left="357" w:hanging="357"/>
      </w:pPr>
      <w:rPr>
        <w:rFonts w:hint="default"/>
      </w:rPr>
    </w:lvl>
    <w:lvl w:ilvl="1" w:tplc="C1545650">
      <w:start w:val="1"/>
      <w:numFmt w:val="lowerLetter"/>
      <w:lvlText w:val="%2."/>
      <w:lvlJc w:val="left"/>
      <w:pPr>
        <w:tabs>
          <w:tab w:val="num" w:pos="1440"/>
        </w:tabs>
        <w:ind w:left="1440" w:hanging="360"/>
      </w:pPr>
    </w:lvl>
    <w:lvl w:ilvl="2" w:tplc="959AD614" w:tentative="1">
      <w:start w:val="1"/>
      <w:numFmt w:val="lowerRoman"/>
      <w:lvlText w:val="%3."/>
      <w:lvlJc w:val="right"/>
      <w:pPr>
        <w:tabs>
          <w:tab w:val="num" w:pos="2160"/>
        </w:tabs>
        <w:ind w:left="2160" w:hanging="180"/>
      </w:pPr>
    </w:lvl>
    <w:lvl w:ilvl="3" w:tplc="72F0CF76" w:tentative="1">
      <w:start w:val="1"/>
      <w:numFmt w:val="decimal"/>
      <w:lvlText w:val="%4."/>
      <w:lvlJc w:val="left"/>
      <w:pPr>
        <w:tabs>
          <w:tab w:val="num" w:pos="2880"/>
        </w:tabs>
        <w:ind w:left="2880" w:hanging="360"/>
      </w:pPr>
    </w:lvl>
    <w:lvl w:ilvl="4" w:tplc="570606EA" w:tentative="1">
      <w:start w:val="1"/>
      <w:numFmt w:val="lowerLetter"/>
      <w:lvlText w:val="%5."/>
      <w:lvlJc w:val="left"/>
      <w:pPr>
        <w:tabs>
          <w:tab w:val="num" w:pos="3600"/>
        </w:tabs>
        <w:ind w:left="3600" w:hanging="360"/>
      </w:pPr>
    </w:lvl>
    <w:lvl w:ilvl="5" w:tplc="A9E8A0F6" w:tentative="1">
      <w:start w:val="1"/>
      <w:numFmt w:val="lowerRoman"/>
      <w:lvlText w:val="%6."/>
      <w:lvlJc w:val="right"/>
      <w:pPr>
        <w:tabs>
          <w:tab w:val="num" w:pos="4320"/>
        </w:tabs>
        <w:ind w:left="4320" w:hanging="180"/>
      </w:pPr>
    </w:lvl>
    <w:lvl w:ilvl="6" w:tplc="7F207D6C" w:tentative="1">
      <w:start w:val="1"/>
      <w:numFmt w:val="decimal"/>
      <w:lvlText w:val="%7."/>
      <w:lvlJc w:val="left"/>
      <w:pPr>
        <w:tabs>
          <w:tab w:val="num" w:pos="5040"/>
        </w:tabs>
        <w:ind w:left="5040" w:hanging="360"/>
      </w:pPr>
    </w:lvl>
    <w:lvl w:ilvl="7" w:tplc="178491F4" w:tentative="1">
      <w:start w:val="1"/>
      <w:numFmt w:val="lowerLetter"/>
      <w:lvlText w:val="%8."/>
      <w:lvlJc w:val="left"/>
      <w:pPr>
        <w:tabs>
          <w:tab w:val="num" w:pos="5760"/>
        </w:tabs>
        <w:ind w:left="5760" w:hanging="360"/>
      </w:pPr>
    </w:lvl>
    <w:lvl w:ilvl="8" w:tplc="EB64F11E" w:tentative="1">
      <w:start w:val="1"/>
      <w:numFmt w:val="lowerRoman"/>
      <w:lvlText w:val="%9."/>
      <w:lvlJc w:val="right"/>
      <w:pPr>
        <w:tabs>
          <w:tab w:val="num" w:pos="6480"/>
        </w:tabs>
        <w:ind w:left="6480" w:hanging="180"/>
      </w:pPr>
    </w:lvl>
  </w:abstractNum>
  <w:abstractNum w:abstractNumId="17" w15:restartNumberingAfterBreak="0">
    <w:nsid w:val="35052DEB"/>
    <w:multiLevelType w:val="hybridMultilevel"/>
    <w:tmpl w:val="86304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623B37"/>
    <w:multiLevelType w:val="hybridMultilevel"/>
    <w:tmpl w:val="D742A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55C2CF3"/>
    <w:multiLevelType w:val="hybridMultilevel"/>
    <w:tmpl w:val="67DA9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2FF2FA8"/>
    <w:multiLevelType w:val="hybridMultilevel"/>
    <w:tmpl w:val="E6F84A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CC34109"/>
    <w:multiLevelType w:val="hybridMultilevel"/>
    <w:tmpl w:val="526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A9472D"/>
    <w:multiLevelType w:val="hybridMultilevel"/>
    <w:tmpl w:val="BCF4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A3F0ACE"/>
    <w:multiLevelType w:val="hybridMultilevel"/>
    <w:tmpl w:val="755E1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BD31840"/>
    <w:multiLevelType w:val="hybridMultilevel"/>
    <w:tmpl w:val="1B026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20"/>
  </w:num>
  <w:num w:numId="15">
    <w:abstractNumId w:val="15"/>
  </w:num>
  <w:num w:numId="16">
    <w:abstractNumId w:val="24"/>
  </w:num>
  <w:num w:numId="17">
    <w:abstractNumId w:val="23"/>
  </w:num>
  <w:num w:numId="18">
    <w:abstractNumId w:val="19"/>
  </w:num>
  <w:num w:numId="19">
    <w:abstractNumId w:val="18"/>
  </w:num>
  <w:num w:numId="20">
    <w:abstractNumId w:val="17"/>
  </w:num>
  <w:num w:numId="21">
    <w:abstractNumId w:val="11"/>
  </w:num>
  <w:num w:numId="22">
    <w:abstractNumId w:val="22"/>
  </w:num>
  <w:num w:numId="23">
    <w:abstractNumId w:val="21"/>
  </w:num>
  <w:num w:numId="24">
    <w:abstractNumId w:val="14"/>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567"/>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531E"/>
    <w:rsid w:val="00000692"/>
    <w:rsid w:val="00002A8E"/>
    <w:rsid w:val="0001302E"/>
    <w:rsid w:val="00013309"/>
    <w:rsid w:val="000173C2"/>
    <w:rsid w:val="000174C4"/>
    <w:rsid w:val="000219B0"/>
    <w:rsid w:val="00022470"/>
    <w:rsid w:val="0002403D"/>
    <w:rsid w:val="00025B89"/>
    <w:rsid w:val="0003280F"/>
    <w:rsid w:val="00040554"/>
    <w:rsid w:val="00043507"/>
    <w:rsid w:val="00047337"/>
    <w:rsid w:val="0004768B"/>
    <w:rsid w:val="00047D4A"/>
    <w:rsid w:val="00052A56"/>
    <w:rsid w:val="000531A4"/>
    <w:rsid w:val="00053DB4"/>
    <w:rsid w:val="000543ED"/>
    <w:rsid w:val="00054BB9"/>
    <w:rsid w:val="000566BA"/>
    <w:rsid w:val="00061341"/>
    <w:rsid w:val="0006334E"/>
    <w:rsid w:val="000640D4"/>
    <w:rsid w:val="00064285"/>
    <w:rsid w:val="00064CAC"/>
    <w:rsid w:val="000662D0"/>
    <w:rsid w:val="000703F3"/>
    <w:rsid w:val="00070BDA"/>
    <w:rsid w:val="00072F0D"/>
    <w:rsid w:val="000737DF"/>
    <w:rsid w:val="00083F48"/>
    <w:rsid w:val="0008492E"/>
    <w:rsid w:val="00084FAF"/>
    <w:rsid w:val="00085560"/>
    <w:rsid w:val="00085738"/>
    <w:rsid w:val="00087CE2"/>
    <w:rsid w:val="000946C6"/>
    <w:rsid w:val="0009538C"/>
    <w:rsid w:val="000966A0"/>
    <w:rsid w:val="00097ECA"/>
    <w:rsid w:val="000A1C0F"/>
    <w:rsid w:val="000A1DBF"/>
    <w:rsid w:val="000A2AC4"/>
    <w:rsid w:val="000A4F6D"/>
    <w:rsid w:val="000A7A36"/>
    <w:rsid w:val="000B4236"/>
    <w:rsid w:val="000C3BEB"/>
    <w:rsid w:val="000C5155"/>
    <w:rsid w:val="000C52DA"/>
    <w:rsid w:val="000D024E"/>
    <w:rsid w:val="000D0FBA"/>
    <w:rsid w:val="000D2869"/>
    <w:rsid w:val="000D39B6"/>
    <w:rsid w:val="000E141C"/>
    <w:rsid w:val="000E42D4"/>
    <w:rsid w:val="000F0C67"/>
    <w:rsid w:val="000F0D60"/>
    <w:rsid w:val="000F0E8E"/>
    <w:rsid w:val="000F2770"/>
    <w:rsid w:val="000F311F"/>
    <w:rsid w:val="000F4A9F"/>
    <w:rsid w:val="0010212A"/>
    <w:rsid w:val="0010243C"/>
    <w:rsid w:val="00102C04"/>
    <w:rsid w:val="00102ECB"/>
    <w:rsid w:val="00102F71"/>
    <w:rsid w:val="001108E2"/>
    <w:rsid w:val="00110D77"/>
    <w:rsid w:val="00112BA9"/>
    <w:rsid w:val="001203BB"/>
    <w:rsid w:val="001239F2"/>
    <w:rsid w:val="001275C9"/>
    <w:rsid w:val="001303DB"/>
    <w:rsid w:val="00130660"/>
    <w:rsid w:val="00130852"/>
    <w:rsid w:val="00130A2E"/>
    <w:rsid w:val="00133353"/>
    <w:rsid w:val="00133FCC"/>
    <w:rsid w:val="00134BE0"/>
    <w:rsid w:val="00136542"/>
    <w:rsid w:val="00137A59"/>
    <w:rsid w:val="00140726"/>
    <w:rsid w:val="00142C15"/>
    <w:rsid w:val="00143DC6"/>
    <w:rsid w:val="00147A0B"/>
    <w:rsid w:val="00147F77"/>
    <w:rsid w:val="00152671"/>
    <w:rsid w:val="00152780"/>
    <w:rsid w:val="0015308F"/>
    <w:rsid w:val="00153923"/>
    <w:rsid w:val="00153DC5"/>
    <w:rsid w:val="001547F0"/>
    <w:rsid w:val="001574C7"/>
    <w:rsid w:val="001576F0"/>
    <w:rsid w:val="001603D5"/>
    <w:rsid w:val="00161D5A"/>
    <w:rsid w:val="001637F7"/>
    <w:rsid w:val="001638B0"/>
    <w:rsid w:val="00171B87"/>
    <w:rsid w:val="00174338"/>
    <w:rsid w:val="00175EA3"/>
    <w:rsid w:val="00176BEE"/>
    <w:rsid w:val="00177DD2"/>
    <w:rsid w:val="001841DB"/>
    <w:rsid w:val="00186E0C"/>
    <w:rsid w:val="00191915"/>
    <w:rsid w:val="00191BFD"/>
    <w:rsid w:val="00197B6E"/>
    <w:rsid w:val="001A6EFA"/>
    <w:rsid w:val="001A7A42"/>
    <w:rsid w:val="001B09B6"/>
    <w:rsid w:val="001B2A95"/>
    <w:rsid w:val="001B4186"/>
    <w:rsid w:val="001B49EF"/>
    <w:rsid w:val="001B676B"/>
    <w:rsid w:val="001C1604"/>
    <w:rsid w:val="001C6204"/>
    <w:rsid w:val="001D64C1"/>
    <w:rsid w:val="001E6F6D"/>
    <w:rsid w:val="001F1A29"/>
    <w:rsid w:val="001F2377"/>
    <w:rsid w:val="001F2F4D"/>
    <w:rsid w:val="002002B9"/>
    <w:rsid w:val="00203734"/>
    <w:rsid w:val="00205173"/>
    <w:rsid w:val="0020600C"/>
    <w:rsid w:val="002062CB"/>
    <w:rsid w:val="00207759"/>
    <w:rsid w:val="00207F9A"/>
    <w:rsid w:val="00210E1C"/>
    <w:rsid w:val="00211B15"/>
    <w:rsid w:val="002220B0"/>
    <w:rsid w:val="00225A4A"/>
    <w:rsid w:val="00227212"/>
    <w:rsid w:val="00233222"/>
    <w:rsid w:val="0023385A"/>
    <w:rsid w:val="00240263"/>
    <w:rsid w:val="00241D23"/>
    <w:rsid w:val="00242759"/>
    <w:rsid w:val="002455F7"/>
    <w:rsid w:val="002467C1"/>
    <w:rsid w:val="002469A1"/>
    <w:rsid w:val="00247E18"/>
    <w:rsid w:val="00256079"/>
    <w:rsid w:val="00257013"/>
    <w:rsid w:val="00262054"/>
    <w:rsid w:val="00262DD5"/>
    <w:rsid w:val="002646A3"/>
    <w:rsid w:val="00265885"/>
    <w:rsid w:val="002658CE"/>
    <w:rsid w:val="00267A06"/>
    <w:rsid w:val="002720CA"/>
    <w:rsid w:val="00280BCC"/>
    <w:rsid w:val="00283982"/>
    <w:rsid w:val="00283B3B"/>
    <w:rsid w:val="00284DFA"/>
    <w:rsid w:val="00286523"/>
    <w:rsid w:val="00290AE2"/>
    <w:rsid w:val="002935DB"/>
    <w:rsid w:val="002967CE"/>
    <w:rsid w:val="002A0E08"/>
    <w:rsid w:val="002A4DE0"/>
    <w:rsid w:val="002B0E66"/>
    <w:rsid w:val="002B1BBA"/>
    <w:rsid w:val="002B2614"/>
    <w:rsid w:val="002B2E70"/>
    <w:rsid w:val="002B3DC9"/>
    <w:rsid w:val="002B61C9"/>
    <w:rsid w:val="002C18ED"/>
    <w:rsid w:val="002C1A96"/>
    <w:rsid w:val="002C1EC0"/>
    <w:rsid w:val="002C2DA0"/>
    <w:rsid w:val="002C6BD0"/>
    <w:rsid w:val="002C7172"/>
    <w:rsid w:val="002D2CDE"/>
    <w:rsid w:val="002D5016"/>
    <w:rsid w:val="002D51A8"/>
    <w:rsid w:val="002D52CC"/>
    <w:rsid w:val="002D5902"/>
    <w:rsid w:val="002D6F25"/>
    <w:rsid w:val="002E50DD"/>
    <w:rsid w:val="002F65BA"/>
    <w:rsid w:val="002F7A48"/>
    <w:rsid w:val="00300843"/>
    <w:rsid w:val="003023CE"/>
    <w:rsid w:val="003038FC"/>
    <w:rsid w:val="00303C11"/>
    <w:rsid w:val="003044CE"/>
    <w:rsid w:val="00305311"/>
    <w:rsid w:val="003100D0"/>
    <w:rsid w:val="00313153"/>
    <w:rsid w:val="003146DB"/>
    <w:rsid w:val="003147BF"/>
    <w:rsid w:val="003153FC"/>
    <w:rsid w:val="0031558D"/>
    <w:rsid w:val="00316365"/>
    <w:rsid w:val="00316BCA"/>
    <w:rsid w:val="00316E52"/>
    <w:rsid w:val="00317B0D"/>
    <w:rsid w:val="0032098A"/>
    <w:rsid w:val="00323B40"/>
    <w:rsid w:val="003262C2"/>
    <w:rsid w:val="00330F6C"/>
    <w:rsid w:val="0033106D"/>
    <w:rsid w:val="00334183"/>
    <w:rsid w:val="00334A35"/>
    <w:rsid w:val="003359D1"/>
    <w:rsid w:val="003369BE"/>
    <w:rsid w:val="00344FE3"/>
    <w:rsid w:val="003470E2"/>
    <w:rsid w:val="00347325"/>
    <w:rsid w:val="00351FB9"/>
    <w:rsid w:val="00356804"/>
    <w:rsid w:val="00365C9B"/>
    <w:rsid w:val="0036799B"/>
    <w:rsid w:val="0037119E"/>
    <w:rsid w:val="003822BA"/>
    <w:rsid w:val="00382E06"/>
    <w:rsid w:val="00384642"/>
    <w:rsid w:val="00384DCC"/>
    <w:rsid w:val="0039317C"/>
    <w:rsid w:val="003943F0"/>
    <w:rsid w:val="00395C1D"/>
    <w:rsid w:val="00397BE6"/>
    <w:rsid w:val="003A1F8D"/>
    <w:rsid w:val="003A23FD"/>
    <w:rsid w:val="003A261A"/>
    <w:rsid w:val="003B0AE3"/>
    <w:rsid w:val="003B11BD"/>
    <w:rsid w:val="003B1B86"/>
    <w:rsid w:val="003C20E0"/>
    <w:rsid w:val="003C2F4E"/>
    <w:rsid w:val="003C319D"/>
    <w:rsid w:val="003C320B"/>
    <w:rsid w:val="003C4B70"/>
    <w:rsid w:val="003C5301"/>
    <w:rsid w:val="003C6072"/>
    <w:rsid w:val="003D375A"/>
    <w:rsid w:val="003D6A24"/>
    <w:rsid w:val="003E280B"/>
    <w:rsid w:val="003E3F86"/>
    <w:rsid w:val="003E4881"/>
    <w:rsid w:val="003E7FA1"/>
    <w:rsid w:val="003F1D02"/>
    <w:rsid w:val="003F25E2"/>
    <w:rsid w:val="003F295D"/>
    <w:rsid w:val="003F435C"/>
    <w:rsid w:val="003F6CE4"/>
    <w:rsid w:val="00400B9C"/>
    <w:rsid w:val="0040514B"/>
    <w:rsid w:val="00405845"/>
    <w:rsid w:val="00406BC4"/>
    <w:rsid w:val="00406F99"/>
    <w:rsid w:val="00407473"/>
    <w:rsid w:val="00407F9D"/>
    <w:rsid w:val="00412423"/>
    <w:rsid w:val="00412BD8"/>
    <w:rsid w:val="00416D90"/>
    <w:rsid w:val="00416E15"/>
    <w:rsid w:val="004173EC"/>
    <w:rsid w:val="00423F38"/>
    <w:rsid w:val="00424008"/>
    <w:rsid w:val="0043003B"/>
    <w:rsid w:val="0043150D"/>
    <w:rsid w:val="00433792"/>
    <w:rsid w:val="00437773"/>
    <w:rsid w:val="0044006C"/>
    <w:rsid w:val="004451B1"/>
    <w:rsid w:val="0044596F"/>
    <w:rsid w:val="00451135"/>
    <w:rsid w:val="004513A2"/>
    <w:rsid w:val="00451B44"/>
    <w:rsid w:val="004629F1"/>
    <w:rsid w:val="00464BEE"/>
    <w:rsid w:val="00470B62"/>
    <w:rsid w:val="00471529"/>
    <w:rsid w:val="00473A0A"/>
    <w:rsid w:val="00474BAE"/>
    <w:rsid w:val="00483791"/>
    <w:rsid w:val="00490DDD"/>
    <w:rsid w:val="00493F3B"/>
    <w:rsid w:val="0049423B"/>
    <w:rsid w:val="004963FC"/>
    <w:rsid w:val="0049677A"/>
    <w:rsid w:val="004A09D1"/>
    <w:rsid w:val="004A2283"/>
    <w:rsid w:val="004A5DE4"/>
    <w:rsid w:val="004A6336"/>
    <w:rsid w:val="004A78E9"/>
    <w:rsid w:val="004A7B45"/>
    <w:rsid w:val="004B5B93"/>
    <w:rsid w:val="004B77C8"/>
    <w:rsid w:val="004C471F"/>
    <w:rsid w:val="004C5818"/>
    <w:rsid w:val="004C7024"/>
    <w:rsid w:val="004C73E7"/>
    <w:rsid w:val="004C752B"/>
    <w:rsid w:val="004D0986"/>
    <w:rsid w:val="004D2F48"/>
    <w:rsid w:val="004D329E"/>
    <w:rsid w:val="004D4746"/>
    <w:rsid w:val="004D6CC7"/>
    <w:rsid w:val="004D6E07"/>
    <w:rsid w:val="004D701D"/>
    <w:rsid w:val="004E3865"/>
    <w:rsid w:val="004E6516"/>
    <w:rsid w:val="00500824"/>
    <w:rsid w:val="005015E2"/>
    <w:rsid w:val="00503973"/>
    <w:rsid w:val="005109DF"/>
    <w:rsid w:val="00512F21"/>
    <w:rsid w:val="00517B9B"/>
    <w:rsid w:val="00522D5C"/>
    <w:rsid w:val="00525988"/>
    <w:rsid w:val="0053273C"/>
    <w:rsid w:val="005335F8"/>
    <w:rsid w:val="00535100"/>
    <w:rsid w:val="00546F21"/>
    <w:rsid w:val="005477F8"/>
    <w:rsid w:val="005479E6"/>
    <w:rsid w:val="00550C02"/>
    <w:rsid w:val="0055246C"/>
    <w:rsid w:val="00554171"/>
    <w:rsid w:val="00557999"/>
    <w:rsid w:val="00561005"/>
    <w:rsid w:val="00564E51"/>
    <w:rsid w:val="005663E1"/>
    <w:rsid w:val="00566A40"/>
    <w:rsid w:val="00566AFF"/>
    <w:rsid w:val="00566D29"/>
    <w:rsid w:val="00574018"/>
    <w:rsid w:val="00580DD1"/>
    <w:rsid w:val="005812AD"/>
    <w:rsid w:val="005822D9"/>
    <w:rsid w:val="0058281F"/>
    <w:rsid w:val="005850A8"/>
    <w:rsid w:val="00585D8C"/>
    <w:rsid w:val="00593B97"/>
    <w:rsid w:val="0059609D"/>
    <w:rsid w:val="005A0069"/>
    <w:rsid w:val="005A04D3"/>
    <w:rsid w:val="005A2550"/>
    <w:rsid w:val="005A2A3B"/>
    <w:rsid w:val="005A4744"/>
    <w:rsid w:val="005A542F"/>
    <w:rsid w:val="005A5ABA"/>
    <w:rsid w:val="005A6A93"/>
    <w:rsid w:val="005B2E9C"/>
    <w:rsid w:val="005B5B05"/>
    <w:rsid w:val="005C042C"/>
    <w:rsid w:val="005C1FB4"/>
    <w:rsid w:val="005C3614"/>
    <w:rsid w:val="005C3744"/>
    <w:rsid w:val="005D12AE"/>
    <w:rsid w:val="005D26A7"/>
    <w:rsid w:val="005D3E52"/>
    <w:rsid w:val="005D41DC"/>
    <w:rsid w:val="005D730A"/>
    <w:rsid w:val="005E1CAF"/>
    <w:rsid w:val="005E2009"/>
    <w:rsid w:val="005E5BD8"/>
    <w:rsid w:val="005E7E5B"/>
    <w:rsid w:val="005F1CC1"/>
    <w:rsid w:val="005F4495"/>
    <w:rsid w:val="005F50B2"/>
    <w:rsid w:val="005F7D94"/>
    <w:rsid w:val="00604348"/>
    <w:rsid w:val="0060442E"/>
    <w:rsid w:val="00605340"/>
    <w:rsid w:val="006069AC"/>
    <w:rsid w:val="006073EE"/>
    <w:rsid w:val="00611702"/>
    <w:rsid w:val="00613884"/>
    <w:rsid w:val="00613C84"/>
    <w:rsid w:val="0061649F"/>
    <w:rsid w:val="00617F30"/>
    <w:rsid w:val="006203F6"/>
    <w:rsid w:val="006209E6"/>
    <w:rsid w:val="0062170B"/>
    <w:rsid w:val="00621842"/>
    <w:rsid w:val="00621AE9"/>
    <w:rsid w:val="00622B45"/>
    <w:rsid w:val="006254E4"/>
    <w:rsid w:val="00627481"/>
    <w:rsid w:val="00630181"/>
    <w:rsid w:val="00633BCE"/>
    <w:rsid w:val="006344CE"/>
    <w:rsid w:val="00635E96"/>
    <w:rsid w:val="00641C48"/>
    <w:rsid w:val="00643D9D"/>
    <w:rsid w:val="00643F8E"/>
    <w:rsid w:val="0064400F"/>
    <w:rsid w:val="00645221"/>
    <w:rsid w:val="00646D48"/>
    <w:rsid w:val="0064797D"/>
    <w:rsid w:val="00654A6A"/>
    <w:rsid w:val="0066011F"/>
    <w:rsid w:val="00661283"/>
    <w:rsid w:val="006618D9"/>
    <w:rsid w:val="00662C54"/>
    <w:rsid w:val="0066533E"/>
    <w:rsid w:val="00667B4D"/>
    <w:rsid w:val="00671D40"/>
    <w:rsid w:val="006764C0"/>
    <w:rsid w:val="006767FB"/>
    <w:rsid w:val="0068198A"/>
    <w:rsid w:val="006825AD"/>
    <w:rsid w:val="006849D1"/>
    <w:rsid w:val="00684AB8"/>
    <w:rsid w:val="00690309"/>
    <w:rsid w:val="00690414"/>
    <w:rsid w:val="00691A72"/>
    <w:rsid w:val="00694CF0"/>
    <w:rsid w:val="0069570C"/>
    <w:rsid w:val="006A1CFE"/>
    <w:rsid w:val="006A33F5"/>
    <w:rsid w:val="006A5480"/>
    <w:rsid w:val="006B36C0"/>
    <w:rsid w:val="006B41B7"/>
    <w:rsid w:val="006B509D"/>
    <w:rsid w:val="006B7608"/>
    <w:rsid w:val="006B7C00"/>
    <w:rsid w:val="006C160C"/>
    <w:rsid w:val="006C597F"/>
    <w:rsid w:val="006C79EC"/>
    <w:rsid w:val="006D069C"/>
    <w:rsid w:val="006D18C5"/>
    <w:rsid w:val="006D18C8"/>
    <w:rsid w:val="006D269A"/>
    <w:rsid w:val="006D451A"/>
    <w:rsid w:val="006D4AD5"/>
    <w:rsid w:val="006D70D2"/>
    <w:rsid w:val="006D754D"/>
    <w:rsid w:val="006E0650"/>
    <w:rsid w:val="006E183C"/>
    <w:rsid w:val="006E5BC1"/>
    <w:rsid w:val="006E6A64"/>
    <w:rsid w:val="006E6C99"/>
    <w:rsid w:val="006E73B4"/>
    <w:rsid w:val="006E74B8"/>
    <w:rsid w:val="006F069D"/>
    <w:rsid w:val="006F13A6"/>
    <w:rsid w:val="006F3D87"/>
    <w:rsid w:val="006F4DDE"/>
    <w:rsid w:val="006F75DD"/>
    <w:rsid w:val="00700597"/>
    <w:rsid w:val="0070160A"/>
    <w:rsid w:val="0070394F"/>
    <w:rsid w:val="0070762B"/>
    <w:rsid w:val="0071037F"/>
    <w:rsid w:val="007121F0"/>
    <w:rsid w:val="00713532"/>
    <w:rsid w:val="00714589"/>
    <w:rsid w:val="00716B82"/>
    <w:rsid w:val="007174A5"/>
    <w:rsid w:val="00717E62"/>
    <w:rsid w:val="0072326A"/>
    <w:rsid w:val="00723E69"/>
    <w:rsid w:val="00723F68"/>
    <w:rsid w:val="00724825"/>
    <w:rsid w:val="00727E7C"/>
    <w:rsid w:val="00733B0B"/>
    <w:rsid w:val="00737394"/>
    <w:rsid w:val="007426C8"/>
    <w:rsid w:val="007447A4"/>
    <w:rsid w:val="007471AE"/>
    <w:rsid w:val="00752034"/>
    <w:rsid w:val="00755676"/>
    <w:rsid w:val="007600DB"/>
    <w:rsid w:val="00762528"/>
    <w:rsid w:val="007640E5"/>
    <w:rsid w:val="00765177"/>
    <w:rsid w:val="00771497"/>
    <w:rsid w:val="00771BEE"/>
    <w:rsid w:val="00772A76"/>
    <w:rsid w:val="007738A7"/>
    <w:rsid w:val="00776823"/>
    <w:rsid w:val="007773BD"/>
    <w:rsid w:val="00780A70"/>
    <w:rsid w:val="00782CD5"/>
    <w:rsid w:val="00784BAE"/>
    <w:rsid w:val="00785D1B"/>
    <w:rsid w:val="00786092"/>
    <w:rsid w:val="007875F4"/>
    <w:rsid w:val="00787C21"/>
    <w:rsid w:val="00790D78"/>
    <w:rsid w:val="007912CF"/>
    <w:rsid w:val="007918E2"/>
    <w:rsid w:val="00791B7B"/>
    <w:rsid w:val="00793A8C"/>
    <w:rsid w:val="007960F5"/>
    <w:rsid w:val="007A32D2"/>
    <w:rsid w:val="007A35DD"/>
    <w:rsid w:val="007A3AD1"/>
    <w:rsid w:val="007A4944"/>
    <w:rsid w:val="007A6219"/>
    <w:rsid w:val="007A6330"/>
    <w:rsid w:val="007A79D7"/>
    <w:rsid w:val="007A7C39"/>
    <w:rsid w:val="007B1307"/>
    <w:rsid w:val="007B3850"/>
    <w:rsid w:val="007B6E3E"/>
    <w:rsid w:val="007C340A"/>
    <w:rsid w:val="007C4530"/>
    <w:rsid w:val="007C47ED"/>
    <w:rsid w:val="007C68AE"/>
    <w:rsid w:val="007C7BD7"/>
    <w:rsid w:val="007D218D"/>
    <w:rsid w:val="007D7D8C"/>
    <w:rsid w:val="007E1DB9"/>
    <w:rsid w:val="007E572B"/>
    <w:rsid w:val="007E7154"/>
    <w:rsid w:val="007E7DDA"/>
    <w:rsid w:val="007F4141"/>
    <w:rsid w:val="007F4EC6"/>
    <w:rsid w:val="007F7637"/>
    <w:rsid w:val="008025DD"/>
    <w:rsid w:val="008055FF"/>
    <w:rsid w:val="00805744"/>
    <w:rsid w:val="00806587"/>
    <w:rsid w:val="0080746E"/>
    <w:rsid w:val="008125BD"/>
    <w:rsid w:val="0081413A"/>
    <w:rsid w:val="00814A04"/>
    <w:rsid w:val="00820453"/>
    <w:rsid w:val="008215C0"/>
    <w:rsid w:val="00826A1C"/>
    <w:rsid w:val="008335CD"/>
    <w:rsid w:val="008350BD"/>
    <w:rsid w:val="0083785A"/>
    <w:rsid w:val="00841B86"/>
    <w:rsid w:val="0084224C"/>
    <w:rsid w:val="008469D4"/>
    <w:rsid w:val="0084785E"/>
    <w:rsid w:val="008542E5"/>
    <w:rsid w:val="00855D81"/>
    <w:rsid w:val="008573DA"/>
    <w:rsid w:val="00863594"/>
    <w:rsid w:val="00863FE4"/>
    <w:rsid w:val="0086469E"/>
    <w:rsid w:val="00864CD4"/>
    <w:rsid w:val="00866C44"/>
    <w:rsid w:val="008728C6"/>
    <w:rsid w:val="00873980"/>
    <w:rsid w:val="00880D93"/>
    <w:rsid w:val="0088145A"/>
    <w:rsid w:val="00882903"/>
    <w:rsid w:val="0088494B"/>
    <w:rsid w:val="0088645D"/>
    <w:rsid w:val="00886764"/>
    <w:rsid w:val="00890D2E"/>
    <w:rsid w:val="008920F0"/>
    <w:rsid w:val="00892F35"/>
    <w:rsid w:val="00896C7E"/>
    <w:rsid w:val="0089723A"/>
    <w:rsid w:val="008A01F0"/>
    <w:rsid w:val="008A0C80"/>
    <w:rsid w:val="008A0DC8"/>
    <w:rsid w:val="008A1271"/>
    <w:rsid w:val="008B23E3"/>
    <w:rsid w:val="008B24D9"/>
    <w:rsid w:val="008B2B13"/>
    <w:rsid w:val="008B372F"/>
    <w:rsid w:val="008B3A32"/>
    <w:rsid w:val="008B5FAF"/>
    <w:rsid w:val="008B6D2E"/>
    <w:rsid w:val="008C27A7"/>
    <w:rsid w:val="008C5C85"/>
    <w:rsid w:val="008C6BFF"/>
    <w:rsid w:val="008C7B3F"/>
    <w:rsid w:val="008D2448"/>
    <w:rsid w:val="008D2CF8"/>
    <w:rsid w:val="008D55FC"/>
    <w:rsid w:val="008D779C"/>
    <w:rsid w:val="008D7C41"/>
    <w:rsid w:val="008E031D"/>
    <w:rsid w:val="008E1436"/>
    <w:rsid w:val="008E7F5F"/>
    <w:rsid w:val="008F241E"/>
    <w:rsid w:val="008F25BC"/>
    <w:rsid w:val="008F279D"/>
    <w:rsid w:val="008F393D"/>
    <w:rsid w:val="008F6717"/>
    <w:rsid w:val="00902B5D"/>
    <w:rsid w:val="00902E15"/>
    <w:rsid w:val="009104E3"/>
    <w:rsid w:val="00910655"/>
    <w:rsid w:val="00912E7D"/>
    <w:rsid w:val="00912FAF"/>
    <w:rsid w:val="0092355E"/>
    <w:rsid w:val="009239B8"/>
    <w:rsid w:val="009259D4"/>
    <w:rsid w:val="00927D02"/>
    <w:rsid w:val="009301F8"/>
    <w:rsid w:val="00930243"/>
    <w:rsid w:val="009324C4"/>
    <w:rsid w:val="009349C0"/>
    <w:rsid w:val="0093637F"/>
    <w:rsid w:val="00943C9B"/>
    <w:rsid w:val="00951C7A"/>
    <w:rsid w:val="00956598"/>
    <w:rsid w:val="00960B5D"/>
    <w:rsid w:val="00961FB9"/>
    <w:rsid w:val="00965091"/>
    <w:rsid w:val="00965C40"/>
    <w:rsid w:val="00971065"/>
    <w:rsid w:val="009727E7"/>
    <w:rsid w:val="0097282F"/>
    <w:rsid w:val="00973F9E"/>
    <w:rsid w:val="00975345"/>
    <w:rsid w:val="00975358"/>
    <w:rsid w:val="00976019"/>
    <w:rsid w:val="009772A0"/>
    <w:rsid w:val="00977AE9"/>
    <w:rsid w:val="00983B9C"/>
    <w:rsid w:val="009916D6"/>
    <w:rsid w:val="00991CE4"/>
    <w:rsid w:val="00992B18"/>
    <w:rsid w:val="00992E82"/>
    <w:rsid w:val="00994A83"/>
    <w:rsid w:val="009957F3"/>
    <w:rsid w:val="009960AF"/>
    <w:rsid w:val="009974CA"/>
    <w:rsid w:val="009A0405"/>
    <w:rsid w:val="009A28BB"/>
    <w:rsid w:val="009A415F"/>
    <w:rsid w:val="009A7132"/>
    <w:rsid w:val="009B4B2D"/>
    <w:rsid w:val="009B730E"/>
    <w:rsid w:val="009C1DFC"/>
    <w:rsid w:val="009C4051"/>
    <w:rsid w:val="009C4829"/>
    <w:rsid w:val="009D0EE1"/>
    <w:rsid w:val="009D20F2"/>
    <w:rsid w:val="009D317E"/>
    <w:rsid w:val="009D56C9"/>
    <w:rsid w:val="009D61F4"/>
    <w:rsid w:val="009D7166"/>
    <w:rsid w:val="009E111F"/>
    <w:rsid w:val="009E3139"/>
    <w:rsid w:val="009E51F1"/>
    <w:rsid w:val="009E529B"/>
    <w:rsid w:val="009E64FA"/>
    <w:rsid w:val="009F381F"/>
    <w:rsid w:val="009F598F"/>
    <w:rsid w:val="009F6D1B"/>
    <w:rsid w:val="009F7BD2"/>
    <w:rsid w:val="00A017D0"/>
    <w:rsid w:val="00A03647"/>
    <w:rsid w:val="00A04490"/>
    <w:rsid w:val="00A053E9"/>
    <w:rsid w:val="00A1145B"/>
    <w:rsid w:val="00A11649"/>
    <w:rsid w:val="00A11748"/>
    <w:rsid w:val="00A12D43"/>
    <w:rsid w:val="00A13554"/>
    <w:rsid w:val="00A16ADE"/>
    <w:rsid w:val="00A2529C"/>
    <w:rsid w:val="00A360F7"/>
    <w:rsid w:val="00A36952"/>
    <w:rsid w:val="00A43FC1"/>
    <w:rsid w:val="00A44B90"/>
    <w:rsid w:val="00A452B6"/>
    <w:rsid w:val="00A45BE7"/>
    <w:rsid w:val="00A46D5B"/>
    <w:rsid w:val="00A470F5"/>
    <w:rsid w:val="00A535B2"/>
    <w:rsid w:val="00A54040"/>
    <w:rsid w:val="00A5452E"/>
    <w:rsid w:val="00A54EA4"/>
    <w:rsid w:val="00A5503A"/>
    <w:rsid w:val="00A56729"/>
    <w:rsid w:val="00A578CA"/>
    <w:rsid w:val="00A623D1"/>
    <w:rsid w:val="00A6448E"/>
    <w:rsid w:val="00A64A22"/>
    <w:rsid w:val="00A64CCE"/>
    <w:rsid w:val="00A670CA"/>
    <w:rsid w:val="00A718BD"/>
    <w:rsid w:val="00A72D89"/>
    <w:rsid w:val="00A73B80"/>
    <w:rsid w:val="00A7434E"/>
    <w:rsid w:val="00A83117"/>
    <w:rsid w:val="00A8677B"/>
    <w:rsid w:val="00A8789E"/>
    <w:rsid w:val="00A87A3B"/>
    <w:rsid w:val="00A915C3"/>
    <w:rsid w:val="00A91AA2"/>
    <w:rsid w:val="00A9229D"/>
    <w:rsid w:val="00A9253C"/>
    <w:rsid w:val="00A93BFC"/>
    <w:rsid w:val="00A9643C"/>
    <w:rsid w:val="00A967BA"/>
    <w:rsid w:val="00A96A39"/>
    <w:rsid w:val="00A97F5E"/>
    <w:rsid w:val="00AA1304"/>
    <w:rsid w:val="00AA2713"/>
    <w:rsid w:val="00AA4E9B"/>
    <w:rsid w:val="00AA6CCF"/>
    <w:rsid w:val="00AB05AE"/>
    <w:rsid w:val="00AB7880"/>
    <w:rsid w:val="00AC1482"/>
    <w:rsid w:val="00AC4B78"/>
    <w:rsid w:val="00AC531E"/>
    <w:rsid w:val="00AD47FF"/>
    <w:rsid w:val="00AD7A54"/>
    <w:rsid w:val="00AD7F86"/>
    <w:rsid w:val="00AE0333"/>
    <w:rsid w:val="00AE05B4"/>
    <w:rsid w:val="00AE3302"/>
    <w:rsid w:val="00AE3332"/>
    <w:rsid w:val="00AE4CFD"/>
    <w:rsid w:val="00AE6123"/>
    <w:rsid w:val="00AE63D5"/>
    <w:rsid w:val="00AF0410"/>
    <w:rsid w:val="00AF1E3C"/>
    <w:rsid w:val="00AF258A"/>
    <w:rsid w:val="00AF2C10"/>
    <w:rsid w:val="00AF3D78"/>
    <w:rsid w:val="00AF41F5"/>
    <w:rsid w:val="00B026B7"/>
    <w:rsid w:val="00B02D4C"/>
    <w:rsid w:val="00B02F03"/>
    <w:rsid w:val="00B06180"/>
    <w:rsid w:val="00B07001"/>
    <w:rsid w:val="00B118D5"/>
    <w:rsid w:val="00B14DAE"/>
    <w:rsid w:val="00B1590F"/>
    <w:rsid w:val="00B20A0B"/>
    <w:rsid w:val="00B22055"/>
    <w:rsid w:val="00B30210"/>
    <w:rsid w:val="00B33B06"/>
    <w:rsid w:val="00B340A0"/>
    <w:rsid w:val="00B3573A"/>
    <w:rsid w:val="00B35E44"/>
    <w:rsid w:val="00B36472"/>
    <w:rsid w:val="00B365DD"/>
    <w:rsid w:val="00B40069"/>
    <w:rsid w:val="00B45EEA"/>
    <w:rsid w:val="00B466BC"/>
    <w:rsid w:val="00B4684B"/>
    <w:rsid w:val="00B5135F"/>
    <w:rsid w:val="00B51F41"/>
    <w:rsid w:val="00B52532"/>
    <w:rsid w:val="00B534C1"/>
    <w:rsid w:val="00B56350"/>
    <w:rsid w:val="00B606DB"/>
    <w:rsid w:val="00B634C8"/>
    <w:rsid w:val="00B64491"/>
    <w:rsid w:val="00B67A43"/>
    <w:rsid w:val="00B67F3A"/>
    <w:rsid w:val="00B7171F"/>
    <w:rsid w:val="00B74DBD"/>
    <w:rsid w:val="00B75D16"/>
    <w:rsid w:val="00B76E7E"/>
    <w:rsid w:val="00B81B8A"/>
    <w:rsid w:val="00B828CB"/>
    <w:rsid w:val="00B829DF"/>
    <w:rsid w:val="00B84199"/>
    <w:rsid w:val="00B85760"/>
    <w:rsid w:val="00B85863"/>
    <w:rsid w:val="00B9195B"/>
    <w:rsid w:val="00B92E6B"/>
    <w:rsid w:val="00B96AC6"/>
    <w:rsid w:val="00BA01C7"/>
    <w:rsid w:val="00BA2200"/>
    <w:rsid w:val="00BA592B"/>
    <w:rsid w:val="00BA62FC"/>
    <w:rsid w:val="00BA651C"/>
    <w:rsid w:val="00BA7B94"/>
    <w:rsid w:val="00BB3568"/>
    <w:rsid w:val="00BB3A4F"/>
    <w:rsid w:val="00BB3D39"/>
    <w:rsid w:val="00BB63A2"/>
    <w:rsid w:val="00BC0C1B"/>
    <w:rsid w:val="00BC5798"/>
    <w:rsid w:val="00BD38C9"/>
    <w:rsid w:val="00BD3DD7"/>
    <w:rsid w:val="00BD4EF0"/>
    <w:rsid w:val="00BD5318"/>
    <w:rsid w:val="00BE06B6"/>
    <w:rsid w:val="00BE16D1"/>
    <w:rsid w:val="00BE1E1F"/>
    <w:rsid w:val="00BE3CD1"/>
    <w:rsid w:val="00BE45ED"/>
    <w:rsid w:val="00BE4CCE"/>
    <w:rsid w:val="00BE73C6"/>
    <w:rsid w:val="00BF02E5"/>
    <w:rsid w:val="00BF1217"/>
    <w:rsid w:val="00BF1F2C"/>
    <w:rsid w:val="00BF6580"/>
    <w:rsid w:val="00C0365E"/>
    <w:rsid w:val="00C037A5"/>
    <w:rsid w:val="00C10CF2"/>
    <w:rsid w:val="00C110D1"/>
    <w:rsid w:val="00C13B24"/>
    <w:rsid w:val="00C174D2"/>
    <w:rsid w:val="00C17FB6"/>
    <w:rsid w:val="00C20C56"/>
    <w:rsid w:val="00C22A12"/>
    <w:rsid w:val="00C30584"/>
    <w:rsid w:val="00C30BF8"/>
    <w:rsid w:val="00C31692"/>
    <w:rsid w:val="00C3617E"/>
    <w:rsid w:val="00C36AAB"/>
    <w:rsid w:val="00C46177"/>
    <w:rsid w:val="00C511BF"/>
    <w:rsid w:val="00C53043"/>
    <w:rsid w:val="00C53A98"/>
    <w:rsid w:val="00C56908"/>
    <w:rsid w:val="00C56F5C"/>
    <w:rsid w:val="00C601DB"/>
    <w:rsid w:val="00C629E5"/>
    <w:rsid w:val="00C62F8D"/>
    <w:rsid w:val="00C64BB4"/>
    <w:rsid w:val="00C67A99"/>
    <w:rsid w:val="00C731F3"/>
    <w:rsid w:val="00C77079"/>
    <w:rsid w:val="00C77453"/>
    <w:rsid w:val="00C77F04"/>
    <w:rsid w:val="00C77F1E"/>
    <w:rsid w:val="00C80AF1"/>
    <w:rsid w:val="00C8109A"/>
    <w:rsid w:val="00C82917"/>
    <w:rsid w:val="00C84BC3"/>
    <w:rsid w:val="00C8702F"/>
    <w:rsid w:val="00C93486"/>
    <w:rsid w:val="00C943C7"/>
    <w:rsid w:val="00C96B9B"/>
    <w:rsid w:val="00C96D29"/>
    <w:rsid w:val="00C970ED"/>
    <w:rsid w:val="00CA14D5"/>
    <w:rsid w:val="00CA1838"/>
    <w:rsid w:val="00CA237E"/>
    <w:rsid w:val="00CA40A2"/>
    <w:rsid w:val="00CA464E"/>
    <w:rsid w:val="00CA4C1A"/>
    <w:rsid w:val="00CA5486"/>
    <w:rsid w:val="00CB1996"/>
    <w:rsid w:val="00CB20B2"/>
    <w:rsid w:val="00CB23AB"/>
    <w:rsid w:val="00CB3C2B"/>
    <w:rsid w:val="00CB5647"/>
    <w:rsid w:val="00CC2AA1"/>
    <w:rsid w:val="00CC2ACE"/>
    <w:rsid w:val="00CC2CC5"/>
    <w:rsid w:val="00CC382A"/>
    <w:rsid w:val="00CC3A25"/>
    <w:rsid w:val="00CD3195"/>
    <w:rsid w:val="00CE001A"/>
    <w:rsid w:val="00CE20FF"/>
    <w:rsid w:val="00CE49AA"/>
    <w:rsid w:val="00CE6273"/>
    <w:rsid w:val="00CE7FD6"/>
    <w:rsid w:val="00CF151E"/>
    <w:rsid w:val="00CF18C6"/>
    <w:rsid w:val="00CF33AD"/>
    <w:rsid w:val="00CF4956"/>
    <w:rsid w:val="00D030C0"/>
    <w:rsid w:val="00D079B1"/>
    <w:rsid w:val="00D11871"/>
    <w:rsid w:val="00D177AE"/>
    <w:rsid w:val="00D1797A"/>
    <w:rsid w:val="00D213A9"/>
    <w:rsid w:val="00D25A10"/>
    <w:rsid w:val="00D25E66"/>
    <w:rsid w:val="00D2608A"/>
    <w:rsid w:val="00D26B88"/>
    <w:rsid w:val="00D3212A"/>
    <w:rsid w:val="00D345B0"/>
    <w:rsid w:val="00D41BAD"/>
    <w:rsid w:val="00D42D4A"/>
    <w:rsid w:val="00D4390E"/>
    <w:rsid w:val="00D460B6"/>
    <w:rsid w:val="00D46400"/>
    <w:rsid w:val="00D46791"/>
    <w:rsid w:val="00D472F2"/>
    <w:rsid w:val="00D50658"/>
    <w:rsid w:val="00D50C45"/>
    <w:rsid w:val="00D527D0"/>
    <w:rsid w:val="00D54A7C"/>
    <w:rsid w:val="00D56D64"/>
    <w:rsid w:val="00D57D2F"/>
    <w:rsid w:val="00D63EA8"/>
    <w:rsid w:val="00D63F59"/>
    <w:rsid w:val="00D658AB"/>
    <w:rsid w:val="00D65DB0"/>
    <w:rsid w:val="00D66EFB"/>
    <w:rsid w:val="00D67B99"/>
    <w:rsid w:val="00D72E5A"/>
    <w:rsid w:val="00D76A34"/>
    <w:rsid w:val="00D77305"/>
    <w:rsid w:val="00D77D8F"/>
    <w:rsid w:val="00D80AF7"/>
    <w:rsid w:val="00D902D0"/>
    <w:rsid w:val="00D90435"/>
    <w:rsid w:val="00D90F30"/>
    <w:rsid w:val="00D92A37"/>
    <w:rsid w:val="00D93F4F"/>
    <w:rsid w:val="00D94BA4"/>
    <w:rsid w:val="00D95F9A"/>
    <w:rsid w:val="00DA3440"/>
    <w:rsid w:val="00DA4FF7"/>
    <w:rsid w:val="00DA560E"/>
    <w:rsid w:val="00DA5987"/>
    <w:rsid w:val="00DB3259"/>
    <w:rsid w:val="00DB7083"/>
    <w:rsid w:val="00DB70D0"/>
    <w:rsid w:val="00DC0C4A"/>
    <w:rsid w:val="00DC3F25"/>
    <w:rsid w:val="00DC75E4"/>
    <w:rsid w:val="00DD1FA6"/>
    <w:rsid w:val="00DD27BB"/>
    <w:rsid w:val="00DD4C1F"/>
    <w:rsid w:val="00DD60E4"/>
    <w:rsid w:val="00DD68ED"/>
    <w:rsid w:val="00DD6DA5"/>
    <w:rsid w:val="00DD748B"/>
    <w:rsid w:val="00DE3D48"/>
    <w:rsid w:val="00DE4C94"/>
    <w:rsid w:val="00DE4E01"/>
    <w:rsid w:val="00DE5B25"/>
    <w:rsid w:val="00DF072B"/>
    <w:rsid w:val="00DF1668"/>
    <w:rsid w:val="00DF5928"/>
    <w:rsid w:val="00DF7687"/>
    <w:rsid w:val="00E047C7"/>
    <w:rsid w:val="00E078CF"/>
    <w:rsid w:val="00E108B5"/>
    <w:rsid w:val="00E11348"/>
    <w:rsid w:val="00E120CB"/>
    <w:rsid w:val="00E1240A"/>
    <w:rsid w:val="00E12ACB"/>
    <w:rsid w:val="00E14AF3"/>
    <w:rsid w:val="00E16F1C"/>
    <w:rsid w:val="00E216A6"/>
    <w:rsid w:val="00E2430D"/>
    <w:rsid w:val="00E257A9"/>
    <w:rsid w:val="00E265C2"/>
    <w:rsid w:val="00E304E5"/>
    <w:rsid w:val="00E311CC"/>
    <w:rsid w:val="00E3138F"/>
    <w:rsid w:val="00E33654"/>
    <w:rsid w:val="00E33EA4"/>
    <w:rsid w:val="00E348B3"/>
    <w:rsid w:val="00E377F8"/>
    <w:rsid w:val="00E37D22"/>
    <w:rsid w:val="00E40D43"/>
    <w:rsid w:val="00E411F1"/>
    <w:rsid w:val="00E4178F"/>
    <w:rsid w:val="00E43209"/>
    <w:rsid w:val="00E44067"/>
    <w:rsid w:val="00E45086"/>
    <w:rsid w:val="00E456A1"/>
    <w:rsid w:val="00E45D4A"/>
    <w:rsid w:val="00E4668D"/>
    <w:rsid w:val="00E46BB6"/>
    <w:rsid w:val="00E479C7"/>
    <w:rsid w:val="00E60221"/>
    <w:rsid w:val="00E60BE5"/>
    <w:rsid w:val="00E61870"/>
    <w:rsid w:val="00E6567A"/>
    <w:rsid w:val="00E66307"/>
    <w:rsid w:val="00E70451"/>
    <w:rsid w:val="00E7173B"/>
    <w:rsid w:val="00E72275"/>
    <w:rsid w:val="00E72B79"/>
    <w:rsid w:val="00E74481"/>
    <w:rsid w:val="00E747F7"/>
    <w:rsid w:val="00E7668B"/>
    <w:rsid w:val="00E77DA6"/>
    <w:rsid w:val="00E83445"/>
    <w:rsid w:val="00E8599A"/>
    <w:rsid w:val="00E90A51"/>
    <w:rsid w:val="00E94B3D"/>
    <w:rsid w:val="00E971B9"/>
    <w:rsid w:val="00EA492B"/>
    <w:rsid w:val="00EA6270"/>
    <w:rsid w:val="00EA6B96"/>
    <w:rsid w:val="00EA73F0"/>
    <w:rsid w:val="00EB04F5"/>
    <w:rsid w:val="00EC03C1"/>
    <w:rsid w:val="00EC0897"/>
    <w:rsid w:val="00EC2AA1"/>
    <w:rsid w:val="00EC2B38"/>
    <w:rsid w:val="00EC3DDE"/>
    <w:rsid w:val="00EC5525"/>
    <w:rsid w:val="00ED003C"/>
    <w:rsid w:val="00ED2616"/>
    <w:rsid w:val="00ED7ED0"/>
    <w:rsid w:val="00EE1057"/>
    <w:rsid w:val="00EE20EA"/>
    <w:rsid w:val="00EE3105"/>
    <w:rsid w:val="00EE392C"/>
    <w:rsid w:val="00EE4CAC"/>
    <w:rsid w:val="00EE71D4"/>
    <w:rsid w:val="00EF0A59"/>
    <w:rsid w:val="00EF1280"/>
    <w:rsid w:val="00EF21D4"/>
    <w:rsid w:val="00F00D51"/>
    <w:rsid w:val="00F0386B"/>
    <w:rsid w:val="00F0454C"/>
    <w:rsid w:val="00F04869"/>
    <w:rsid w:val="00F1267C"/>
    <w:rsid w:val="00F12879"/>
    <w:rsid w:val="00F13230"/>
    <w:rsid w:val="00F133CA"/>
    <w:rsid w:val="00F13CA2"/>
    <w:rsid w:val="00F13F79"/>
    <w:rsid w:val="00F14976"/>
    <w:rsid w:val="00F157FD"/>
    <w:rsid w:val="00F16AB6"/>
    <w:rsid w:val="00F17E52"/>
    <w:rsid w:val="00F206A5"/>
    <w:rsid w:val="00F21A5D"/>
    <w:rsid w:val="00F2241F"/>
    <w:rsid w:val="00F26F02"/>
    <w:rsid w:val="00F27FBA"/>
    <w:rsid w:val="00F3168F"/>
    <w:rsid w:val="00F31885"/>
    <w:rsid w:val="00F327D0"/>
    <w:rsid w:val="00F33BBB"/>
    <w:rsid w:val="00F364AC"/>
    <w:rsid w:val="00F37C95"/>
    <w:rsid w:val="00F4007E"/>
    <w:rsid w:val="00F41C45"/>
    <w:rsid w:val="00F4274E"/>
    <w:rsid w:val="00F43E59"/>
    <w:rsid w:val="00F4599F"/>
    <w:rsid w:val="00F4704B"/>
    <w:rsid w:val="00F47CA3"/>
    <w:rsid w:val="00F47DAF"/>
    <w:rsid w:val="00F506BB"/>
    <w:rsid w:val="00F515A5"/>
    <w:rsid w:val="00F55D17"/>
    <w:rsid w:val="00F57EA2"/>
    <w:rsid w:val="00F60FAF"/>
    <w:rsid w:val="00F65030"/>
    <w:rsid w:val="00F6761C"/>
    <w:rsid w:val="00F7098D"/>
    <w:rsid w:val="00F717A6"/>
    <w:rsid w:val="00F777AC"/>
    <w:rsid w:val="00F80104"/>
    <w:rsid w:val="00F86411"/>
    <w:rsid w:val="00F87C62"/>
    <w:rsid w:val="00F927F1"/>
    <w:rsid w:val="00F93214"/>
    <w:rsid w:val="00F93D20"/>
    <w:rsid w:val="00FA03E2"/>
    <w:rsid w:val="00FA3362"/>
    <w:rsid w:val="00FA389F"/>
    <w:rsid w:val="00FA6273"/>
    <w:rsid w:val="00FA6959"/>
    <w:rsid w:val="00FA6FAF"/>
    <w:rsid w:val="00FA7953"/>
    <w:rsid w:val="00FA7EF0"/>
    <w:rsid w:val="00FB1E8B"/>
    <w:rsid w:val="00FB542D"/>
    <w:rsid w:val="00FB6152"/>
    <w:rsid w:val="00FB7F56"/>
    <w:rsid w:val="00FC0B7F"/>
    <w:rsid w:val="00FD0B7F"/>
    <w:rsid w:val="00FD1AD2"/>
    <w:rsid w:val="00FD1DF6"/>
    <w:rsid w:val="00FD45F5"/>
    <w:rsid w:val="00FD55CC"/>
    <w:rsid w:val="00FD7032"/>
    <w:rsid w:val="00FE2B3E"/>
    <w:rsid w:val="00FE3703"/>
    <w:rsid w:val="00FE4B60"/>
    <w:rsid w:val="00FE5055"/>
    <w:rsid w:val="00FE67A5"/>
    <w:rsid w:val="00FF0E89"/>
    <w:rsid w:val="00FF3142"/>
    <w:rsid w:val="00FF77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4:docId w14:val="6EA78CA3"/>
  <w15:chartTrackingRefBased/>
  <w15:docId w15:val="{901B324F-C970-4CEB-BDB6-5344328DE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toc 1" w:uiPriority="39" w:qFormat="1"/>
    <w:lsdException w:name="toc 2" w:uiPriority="39" w:qFormat="1"/>
    <w:lsdException w:name="toc 3" w:uiPriority="39" w:qFormat="1"/>
    <w:lsdException w:name="caption" w:semiHidden="1" w:unhideWhenUsed="1" w:qFormat="1"/>
    <w:lsdException w:name="List Bullet" w:qFormat="1"/>
    <w:lsdException w:name="List Number" w:qFormat="1"/>
    <w:lsdException w:name="List Bullet 2" w:qFormat="1"/>
    <w:lsdException w:name="List Bullet 3" w:qFormat="1"/>
    <w:lsdException w:name="List Number 2" w:qFormat="1"/>
    <w:lsdException w:name="List Number 3" w:qFormat="1"/>
    <w:lsdException w:name="Hyperlink"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C531E"/>
    <w:pPr>
      <w:spacing w:after="120" w:line="288" w:lineRule="auto"/>
      <w:jc w:val="both"/>
    </w:pPr>
    <w:rPr>
      <w:rFonts w:ascii="Calibri" w:hAnsi="Calibri"/>
      <w:sz w:val="22"/>
      <w:szCs w:val="24"/>
    </w:rPr>
  </w:style>
  <w:style w:type="paragraph" w:styleId="Heading1">
    <w:name w:val="heading 1"/>
    <w:basedOn w:val="Normal"/>
    <w:next w:val="Normal"/>
    <w:qFormat/>
    <w:rsid w:val="0044006C"/>
    <w:pPr>
      <w:keepNext/>
      <w:spacing w:before="240" w:after="240"/>
      <w:outlineLvl w:val="0"/>
    </w:pPr>
    <w:rPr>
      <w:rFonts w:cs="Arial"/>
      <w:b/>
      <w:bCs/>
      <w:color w:val="BE0068"/>
      <w:kern w:val="32"/>
      <w:sz w:val="36"/>
      <w:szCs w:val="32"/>
    </w:rPr>
  </w:style>
  <w:style w:type="paragraph" w:styleId="Heading2">
    <w:name w:val="heading 2"/>
    <w:basedOn w:val="Normal"/>
    <w:next w:val="Normal"/>
    <w:qFormat/>
    <w:rsid w:val="007B6E3E"/>
    <w:pPr>
      <w:keepNext/>
      <w:spacing w:before="240" w:line="240" w:lineRule="auto"/>
      <w:outlineLvl w:val="1"/>
    </w:pPr>
    <w:rPr>
      <w:rFonts w:cs="Arial"/>
      <w:b/>
      <w:bCs/>
      <w:iCs/>
      <w:color w:val="717171"/>
      <w:sz w:val="32"/>
      <w:szCs w:val="28"/>
    </w:rPr>
  </w:style>
  <w:style w:type="paragraph" w:styleId="Heading3">
    <w:name w:val="heading 3"/>
    <w:basedOn w:val="Normal"/>
    <w:next w:val="Normal"/>
    <w:qFormat/>
    <w:rsid w:val="007B6E3E"/>
    <w:pPr>
      <w:keepNext/>
      <w:spacing w:before="240"/>
      <w:outlineLvl w:val="2"/>
    </w:pPr>
    <w:rPr>
      <w:rFonts w:cs="Arial"/>
      <w:b/>
      <w:bCs/>
      <w:color w:val="717171"/>
      <w:sz w:val="28"/>
      <w:szCs w:val="26"/>
    </w:rPr>
  </w:style>
  <w:style w:type="paragraph" w:styleId="Heading4">
    <w:name w:val="heading 4"/>
    <w:basedOn w:val="Normal"/>
    <w:next w:val="Normal"/>
    <w:rsid w:val="00566AFF"/>
    <w:pPr>
      <w:keepNext/>
      <w:spacing w:before="360" w:line="240" w:lineRule="auto"/>
      <w:ind w:hanging="851"/>
      <w:outlineLvl w:val="3"/>
    </w:pPr>
    <w:rPr>
      <w:rFonts w:ascii="Times New Roman" w:hAnsi="Times New Roman"/>
      <w:i/>
      <w:szCs w:val="20"/>
      <w:lang w:eastAsia="en-US"/>
    </w:rPr>
  </w:style>
  <w:style w:type="paragraph" w:styleId="Heading5">
    <w:name w:val="heading 5"/>
    <w:basedOn w:val="Normal"/>
    <w:rsid w:val="00566AFF"/>
    <w:pPr>
      <w:spacing w:before="130" w:line="240" w:lineRule="auto"/>
      <w:outlineLvl w:val="4"/>
    </w:pPr>
    <w:rPr>
      <w:rFonts w:ascii="Times New Roman" w:hAnsi="Times New Roman"/>
      <w:szCs w:val="20"/>
      <w:lang w:eastAsia="en-US"/>
    </w:rPr>
  </w:style>
  <w:style w:type="paragraph" w:styleId="Heading6">
    <w:name w:val="heading 6"/>
    <w:basedOn w:val="Normal"/>
    <w:next w:val="Heading7"/>
    <w:rsid w:val="00566AFF"/>
    <w:pPr>
      <w:spacing w:before="240" w:after="60" w:line="240" w:lineRule="auto"/>
      <w:ind w:left="3404" w:hanging="851"/>
      <w:outlineLvl w:val="5"/>
    </w:pPr>
    <w:rPr>
      <w:rFonts w:ascii="Times New Roman" w:hAnsi="Times New Roman"/>
      <w:sz w:val="36"/>
      <w:szCs w:val="20"/>
      <w:lang w:eastAsia="en-US"/>
    </w:rPr>
  </w:style>
  <w:style w:type="paragraph" w:styleId="Heading7">
    <w:name w:val="heading 7"/>
    <w:basedOn w:val="Normal"/>
    <w:next w:val="Normal"/>
    <w:rsid w:val="00566AFF"/>
    <w:pPr>
      <w:spacing w:before="240" w:after="60" w:line="240" w:lineRule="auto"/>
      <w:outlineLvl w:val="6"/>
    </w:pPr>
    <w:rPr>
      <w:rFonts w:ascii="Times New Roman" w:hAnsi="Times New Roman"/>
      <w:szCs w:val="20"/>
      <w:lang w:eastAsia="en-US"/>
    </w:rPr>
  </w:style>
  <w:style w:type="paragraph" w:styleId="Heading8">
    <w:name w:val="heading 8"/>
    <w:basedOn w:val="Normal"/>
    <w:next w:val="Normal"/>
    <w:rsid w:val="00566AFF"/>
    <w:pPr>
      <w:spacing w:before="240" w:after="60" w:line="240" w:lineRule="auto"/>
      <w:outlineLvl w:val="7"/>
    </w:pPr>
    <w:rPr>
      <w:rFonts w:ascii="Times New Roman" w:hAnsi="Times New Roman"/>
      <w:szCs w:val="20"/>
      <w:lang w:eastAsia="en-US"/>
    </w:rPr>
  </w:style>
  <w:style w:type="paragraph" w:styleId="Heading9">
    <w:name w:val="heading 9"/>
    <w:basedOn w:val="Normal"/>
    <w:next w:val="Normal"/>
    <w:rsid w:val="00566AFF"/>
    <w:pPr>
      <w:spacing w:before="240" w:after="60" w:line="240" w:lineRule="auto"/>
      <w:outlineLvl w:val="8"/>
    </w:pPr>
    <w:rPr>
      <w:rFonts w:ascii="Times New Roman" w:hAnsi="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qFormat/>
    <w:rsid w:val="00265885"/>
    <w:pPr>
      <w:numPr>
        <w:numId w:val="3"/>
      </w:numPr>
    </w:pPr>
  </w:style>
  <w:style w:type="paragraph" w:styleId="TOC1">
    <w:name w:val="toc 1"/>
    <w:basedOn w:val="Normal"/>
    <w:next w:val="Normal"/>
    <w:autoRedefine/>
    <w:uiPriority w:val="39"/>
    <w:qFormat/>
    <w:rsid w:val="00566AFF"/>
    <w:rPr>
      <w:b/>
      <w:color w:val="A2027B"/>
      <w:sz w:val="36"/>
    </w:rPr>
  </w:style>
  <w:style w:type="paragraph" w:styleId="Header">
    <w:name w:val="header"/>
    <w:basedOn w:val="Normal"/>
    <w:rsid w:val="00323B40"/>
    <w:pPr>
      <w:tabs>
        <w:tab w:val="center" w:pos="4153"/>
        <w:tab w:val="right" w:pos="8306"/>
      </w:tabs>
    </w:pPr>
  </w:style>
  <w:style w:type="paragraph" w:styleId="Footer">
    <w:name w:val="footer"/>
    <w:basedOn w:val="Normal"/>
    <w:rsid w:val="00323B40"/>
    <w:pPr>
      <w:tabs>
        <w:tab w:val="center" w:pos="4153"/>
        <w:tab w:val="right" w:pos="8306"/>
      </w:tabs>
    </w:pPr>
  </w:style>
  <w:style w:type="character" w:styleId="PageNumber">
    <w:name w:val="page number"/>
    <w:rsid w:val="008C5C85"/>
    <w:rPr>
      <w:rFonts w:ascii="Calibri" w:hAnsi="Calibri"/>
      <w:sz w:val="12"/>
    </w:rPr>
  </w:style>
  <w:style w:type="paragraph" w:styleId="TOC2">
    <w:name w:val="toc 2"/>
    <w:basedOn w:val="Normal"/>
    <w:next w:val="Normal"/>
    <w:autoRedefine/>
    <w:uiPriority w:val="39"/>
    <w:qFormat/>
    <w:rsid w:val="00566AFF"/>
    <w:pPr>
      <w:ind w:left="200"/>
    </w:pPr>
  </w:style>
  <w:style w:type="character" w:styleId="Hyperlink">
    <w:name w:val="Hyperlink"/>
    <w:uiPriority w:val="99"/>
    <w:rsid w:val="00D93F4F"/>
    <w:rPr>
      <w:rFonts w:ascii="Calibri" w:hAnsi="Calibri"/>
      <w:b/>
      <w:color w:val="A2027B"/>
      <w:sz w:val="22"/>
      <w:u w:val="none"/>
    </w:rPr>
  </w:style>
  <w:style w:type="table" w:styleId="TableGrid">
    <w:name w:val="Table Grid"/>
    <w:basedOn w:val="TableNormal"/>
    <w:uiPriority w:val="59"/>
    <w:rsid w:val="009C4829"/>
    <w:pPr>
      <w:spacing w:before="60" w:after="60" w:line="288" w:lineRule="auto"/>
      <w:jc w:val="both"/>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wordWrap/>
        <w:spacing w:beforeLines="0" w:before="0" w:beforeAutospacing="0" w:afterLines="0" w:after="0" w:afterAutospacing="0" w:line="240" w:lineRule="auto"/>
        <w:ind w:leftChars="0" w:left="0" w:rightChars="0" w:right="0"/>
        <w:contextualSpacing w:val="0"/>
        <w:jc w:val="left"/>
        <w:outlineLvl w:val="9"/>
      </w:pPr>
      <w:rPr>
        <w:rFonts w:ascii="DengXian" w:hAnsi="DengXian"/>
        <w:b w:val="0"/>
        <w:bCs/>
        <w:color w:val="auto"/>
        <w:sz w:val="22"/>
      </w:rPr>
      <w:tblPr/>
      <w:tcPr>
        <w:tcBorders>
          <w:tl2br w:val="none" w:sz="0" w:space="0" w:color="auto"/>
          <w:tr2bl w:val="none" w:sz="0" w:space="0" w:color="auto"/>
        </w:tcBorders>
        <w:shd w:val="clear" w:color="auto" w:fill="B7B7B7"/>
      </w:tcPr>
    </w:tblStylePr>
  </w:style>
  <w:style w:type="paragraph" w:styleId="BodyText">
    <w:name w:val="Body Text"/>
    <w:basedOn w:val="Normal"/>
    <w:rsid w:val="00F2241F"/>
  </w:style>
  <w:style w:type="paragraph" w:customStyle="1" w:styleId="DocumentName">
    <w:name w:val="Document Name"/>
    <w:basedOn w:val="Normal"/>
    <w:rsid w:val="00FE5055"/>
    <w:pPr>
      <w:jc w:val="right"/>
    </w:pPr>
    <w:rPr>
      <w:color w:val="B7B7B7"/>
      <w:sz w:val="48"/>
      <w:szCs w:val="20"/>
    </w:rPr>
  </w:style>
  <w:style w:type="paragraph" w:customStyle="1" w:styleId="Dateright">
    <w:name w:val="Date_right"/>
    <w:basedOn w:val="Normal"/>
    <w:rsid w:val="00FE5055"/>
    <w:pPr>
      <w:jc w:val="right"/>
    </w:pPr>
    <w:rPr>
      <w:szCs w:val="20"/>
    </w:rPr>
  </w:style>
  <w:style w:type="character" w:customStyle="1" w:styleId="ContentHeader">
    <w:name w:val="Content Header"/>
    <w:rsid w:val="00FE5055"/>
    <w:rPr>
      <w:rFonts w:ascii="Calibri" w:hAnsi="Calibri"/>
      <w:b/>
      <w:bCs/>
      <w:color w:val="717171"/>
      <w:sz w:val="32"/>
    </w:rPr>
  </w:style>
  <w:style w:type="paragraph" w:styleId="BodyText2">
    <w:name w:val="Body Text 2"/>
    <w:basedOn w:val="Normal"/>
    <w:rsid w:val="00F2241F"/>
    <w:pPr>
      <w:tabs>
        <w:tab w:val="left" w:pos="567"/>
      </w:tabs>
      <w:ind w:left="567"/>
    </w:pPr>
  </w:style>
  <w:style w:type="paragraph" w:styleId="BodyText3">
    <w:name w:val="Body Text 3"/>
    <w:basedOn w:val="BodyText2"/>
    <w:rsid w:val="00F2241F"/>
    <w:pPr>
      <w:tabs>
        <w:tab w:val="left" w:pos="1134"/>
      </w:tabs>
      <w:ind w:left="1134"/>
    </w:pPr>
    <w:rPr>
      <w:szCs w:val="16"/>
    </w:rPr>
  </w:style>
  <w:style w:type="paragraph" w:styleId="ListBullet2">
    <w:name w:val="List Bullet 2"/>
    <w:basedOn w:val="ListBullet"/>
    <w:qFormat/>
    <w:rsid w:val="00013309"/>
    <w:pPr>
      <w:numPr>
        <w:numId w:val="4"/>
      </w:numPr>
    </w:pPr>
  </w:style>
  <w:style w:type="paragraph" w:styleId="ListBullet3">
    <w:name w:val="List Bullet 3"/>
    <w:basedOn w:val="ListBullet2"/>
    <w:qFormat/>
    <w:rsid w:val="00013309"/>
    <w:pPr>
      <w:numPr>
        <w:numId w:val="5"/>
      </w:numPr>
    </w:pPr>
  </w:style>
  <w:style w:type="paragraph" w:styleId="ListNumber">
    <w:name w:val="List Number"/>
    <w:basedOn w:val="Normal"/>
    <w:qFormat/>
    <w:rsid w:val="00013309"/>
    <w:pPr>
      <w:numPr>
        <w:numId w:val="8"/>
      </w:numPr>
    </w:pPr>
  </w:style>
  <w:style w:type="paragraph" w:styleId="ListNumber2">
    <w:name w:val="List Number 2"/>
    <w:basedOn w:val="ListNumber"/>
    <w:qFormat/>
    <w:rsid w:val="00013309"/>
    <w:pPr>
      <w:numPr>
        <w:numId w:val="9"/>
      </w:numPr>
      <w:ind w:left="1135" w:hanging="284"/>
    </w:pPr>
  </w:style>
  <w:style w:type="paragraph" w:styleId="ListNumber3">
    <w:name w:val="List Number 3"/>
    <w:basedOn w:val="ListNumber2"/>
    <w:qFormat/>
    <w:rsid w:val="00013309"/>
    <w:pPr>
      <w:numPr>
        <w:numId w:val="10"/>
      </w:numPr>
    </w:pPr>
  </w:style>
  <w:style w:type="paragraph" w:styleId="Quote">
    <w:name w:val="Quote"/>
    <w:qFormat/>
    <w:rsid w:val="00013309"/>
    <w:pPr>
      <w:spacing w:after="120" w:line="288" w:lineRule="auto"/>
      <w:ind w:left="567"/>
      <w:jc w:val="right"/>
    </w:pPr>
    <w:rPr>
      <w:rFonts w:ascii="Segoe UI" w:hAnsi="Segoe UI"/>
      <w:i/>
      <w:color w:val="717171"/>
      <w:sz w:val="22"/>
      <w:szCs w:val="24"/>
    </w:rPr>
  </w:style>
  <w:style w:type="paragraph" w:customStyle="1" w:styleId="Quoteref">
    <w:name w:val="Quote ref"/>
    <w:qFormat/>
    <w:rsid w:val="00013309"/>
    <w:pPr>
      <w:spacing w:after="120" w:line="288" w:lineRule="auto"/>
      <w:jc w:val="right"/>
    </w:pPr>
    <w:rPr>
      <w:rFonts w:ascii="Calibri" w:hAnsi="Calibri"/>
      <w:b/>
      <w:sz w:val="18"/>
      <w:szCs w:val="24"/>
    </w:rPr>
  </w:style>
  <w:style w:type="table" w:customStyle="1" w:styleId="BPNtable">
    <w:name w:val="BPN table"/>
    <w:basedOn w:val="TableNormal"/>
    <w:rsid w:val="005D730A"/>
    <w:pPr>
      <w:spacing w:before="60" w:after="60" w:line="288" w:lineRule="auto"/>
    </w:pPr>
    <w:rPr>
      <w:rFonts w:ascii="Calibri" w:hAnsi="Calibri"/>
      <w:sz w:val="22"/>
    </w:rPr>
    <w:tblPr>
      <w:tblBorders>
        <w:top w:val="single" w:sz="4" w:space="0" w:color="717171"/>
        <w:left w:val="single" w:sz="4" w:space="0" w:color="717171"/>
        <w:bottom w:val="single" w:sz="4" w:space="0" w:color="717171"/>
        <w:right w:val="single" w:sz="4" w:space="0" w:color="717171"/>
        <w:insideH w:val="single" w:sz="4" w:space="0" w:color="717171"/>
        <w:insideV w:val="single" w:sz="4" w:space="0" w:color="717171"/>
      </w:tblBorders>
    </w:tblPr>
    <w:tcPr>
      <w:shd w:val="clear" w:color="auto" w:fill="auto"/>
    </w:tcPr>
    <w:tblStylePr w:type="firstRow">
      <w:pPr>
        <w:keepNext/>
        <w:wordWrap/>
        <w:spacing w:beforeLines="0" w:before="0" w:beforeAutospacing="0" w:afterLines="0" w:after="0" w:afterAutospacing="0" w:line="288" w:lineRule="auto"/>
        <w:contextualSpacing w:val="0"/>
        <w:jc w:val="left"/>
        <w:outlineLvl w:val="9"/>
      </w:pPr>
      <w:rPr>
        <w:rFonts w:ascii="DengXian" w:hAnsi="DengXian"/>
        <w:sz w:val="22"/>
      </w:rPr>
      <w:tblPr/>
      <w:tcPr>
        <w:shd w:val="clear" w:color="auto" w:fill="B7B7B7"/>
      </w:tcPr>
    </w:tblStylePr>
  </w:style>
  <w:style w:type="paragraph" w:customStyle="1" w:styleId="BPNtableheader">
    <w:name w:val="BPN table header"/>
    <w:basedOn w:val="Normal"/>
    <w:qFormat/>
    <w:rsid w:val="00C62F8D"/>
    <w:pPr>
      <w:spacing w:after="0"/>
      <w:jc w:val="left"/>
    </w:pPr>
  </w:style>
  <w:style w:type="paragraph" w:customStyle="1" w:styleId="BPNtablebody">
    <w:name w:val="BPN table body"/>
    <w:basedOn w:val="Normal"/>
    <w:qFormat/>
    <w:rsid w:val="00C62F8D"/>
    <w:pPr>
      <w:spacing w:before="60" w:after="60"/>
      <w:jc w:val="left"/>
    </w:pPr>
  </w:style>
  <w:style w:type="paragraph" w:styleId="BalloonText">
    <w:name w:val="Balloon Text"/>
    <w:basedOn w:val="Normal"/>
    <w:link w:val="BalloonTextChar"/>
    <w:rsid w:val="0070160A"/>
    <w:pPr>
      <w:spacing w:after="0" w:line="240" w:lineRule="auto"/>
    </w:pPr>
    <w:rPr>
      <w:rFonts w:ascii="Tahoma" w:hAnsi="Tahoma" w:cs="Tahoma"/>
      <w:sz w:val="16"/>
      <w:szCs w:val="16"/>
    </w:rPr>
  </w:style>
  <w:style w:type="character" w:customStyle="1" w:styleId="BalloonTextChar">
    <w:name w:val="Balloon Text Char"/>
    <w:link w:val="BalloonText"/>
    <w:rsid w:val="0070160A"/>
    <w:rPr>
      <w:rFonts w:ascii="Tahoma" w:hAnsi="Tahoma" w:cs="Tahoma"/>
      <w:sz w:val="16"/>
      <w:szCs w:val="16"/>
    </w:rPr>
  </w:style>
  <w:style w:type="paragraph" w:styleId="TOCHeading">
    <w:name w:val="TOC Heading"/>
    <w:basedOn w:val="Heading1"/>
    <w:next w:val="Normal"/>
    <w:uiPriority w:val="39"/>
    <w:semiHidden/>
    <w:unhideWhenUsed/>
    <w:qFormat/>
    <w:rsid w:val="00E747F7"/>
    <w:pPr>
      <w:keepLines/>
      <w:spacing w:before="480" w:after="0" w:line="276" w:lineRule="auto"/>
      <w:jc w:val="left"/>
      <w:outlineLvl w:val="9"/>
    </w:pPr>
    <w:rPr>
      <w:rFonts w:ascii="Cambria" w:hAnsi="Cambria" w:cs="Times New Roman"/>
      <w:color w:val="79015B"/>
      <w:kern w:val="0"/>
      <w:sz w:val="28"/>
      <w:szCs w:val="28"/>
      <w:lang w:val="en-US" w:eastAsia="ja-JP"/>
    </w:rPr>
  </w:style>
  <w:style w:type="paragraph" w:styleId="TOC3">
    <w:name w:val="toc 3"/>
    <w:basedOn w:val="Normal"/>
    <w:next w:val="Normal"/>
    <w:autoRedefine/>
    <w:uiPriority w:val="39"/>
    <w:unhideWhenUsed/>
    <w:qFormat/>
    <w:rsid w:val="00E747F7"/>
    <w:pPr>
      <w:spacing w:after="100" w:line="276" w:lineRule="auto"/>
      <w:ind w:left="440"/>
      <w:jc w:val="left"/>
    </w:pPr>
    <w:rPr>
      <w:szCs w:val="22"/>
      <w:lang w:val="en-US" w:eastAsia="ja-JP"/>
    </w:rPr>
  </w:style>
  <w:style w:type="paragraph" w:styleId="NoSpacing">
    <w:name w:val="No Spacing"/>
    <w:link w:val="NoSpacingChar"/>
    <w:uiPriority w:val="1"/>
    <w:qFormat/>
    <w:rsid w:val="00C037A5"/>
    <w:rPr>
      <w:rFonts w:ascii="Calibri" w:hAnsi="Calibri"/>
      <w:sz w:val="22"/>
      <w:szCs w:val="22"/>
      <w:lang w:val="en-US" w:eastAsia="ja-JP"/>
    </w:rPr>
  </w:style>
  <w:style w:type="character" w:customStyle="1" w:styleId="NoSpacingChar">
    <w:name w:val="No Spacing Char"/>
    <w:link w:val="NoSpacing"/>
    <w:uiPriority w:val="1"/>
    <w:rsid w:val="00C037A5"/>
    <w:rPr>
      <w:rFonts w:ascii="Calibri" w:eastAsia="Times New Roman" w:hAnsi="Calibri" w:cs="Times New Roman"/>
      <w:sz w:val="22"/>
      <w:szCs w:val="22"/>
      <w:lang w:val="en-US" w:eastAsia="ja-JP"/>
    </w:rPr>
  </w:style>
  <w:style w:type="paragraph" w:customStyle="1" w:styleId="Legaltext">
    <w:name w:val="Legal text"/>
    <w:basedOn w:val="Normal"/>
    <w:qFormat/>
    <w:rsid w:val="0003280F"/>
    <w:rPr>
      <w:iCs/>
      <w:color w:val="868686"/>
      <w:szCs w:val="22"/>
    </w:rPr>
  </w:style>
  <w:style w:type="paragraph" w:customStyle="1" w:styleId="Default">
    <w:name w:val="Default"/>
    <w:rsid w:val="00EC5525"/>
    <w:pPr>
      <w:autoSpaceDE w:val="0"/>
      <w:autoSpaceDN w:val="0"/>
      <w:adjustRightInd w:val="0"/>
    </w:pPr>
    <w:rPr>
      <w:rFonts w:ascii="Arial" w:hAnsi="Arial" w:cs="Arial"/>
      <w:color w:val="000000"/>
      <w:sz w:val="24"/>
      <w:szCs w:val="24"/>
    </w:rPr>
  </w:style>
  <w:style w:type="character" w:styleId="UnresolvedMention">
    <w:name w:val="Unresolved Mention"/>
    <w:uiPriority w:val="99"/>
    <w:semiHidden/>
    <w:unhideWhenUsed/>
    <w:rsid w:val="006C16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Business%20Procedures\Corporate\Resources\Templates\Standard%20documents\Standard%20template_portrait_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7471-E3D9-42EC-B794-D0F2EE321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 template_portrait_colour</Template>
  <TotalTime>5</TotalTime>
  <Pages>10</Pages>
  <Words>1983</Words>
  <Characters>12127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1</vt:lpstr>
    </vt:vector>
  </TitlesOfParts>
  <Company>Best Practice Network</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BPN</dc:creator>
  <cp:keywords/>
  <cp:lastModifiedBy>Emily Gingell</cp:lastModifiedBy>
  <cp:revision>4</cp:revision>
  <cp:lastPrinted>2014-09-08T13:09:00Z</cp:lastPrinted>
  <dcterms:created xsi:type="dcterms:W3CDTF">2020-01-21T11:30:00Z</dcterms:created>
  <dcterms:modified xsi:type="dcterms:W3CDTF">2020-01-21T11:35:00Z</dcterms:modified>
</cp:coreProperties>
</file>